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media/image2.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F3E1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D917F8A">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0CF819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638F8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20347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A5A947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14:paraId="674663C3">
      <w:pPr>
        <w:pStyle w:val="50"/>
        <w:framePr w:w="9588" w:h="976" w:hRule="exact" w:hSpace="181" w:vSpace="181" w:wrap="around" w:hAnchor="page" w:x="1305" w:y="1906"/>
        <w:rPr>
          <w:rFonts w:ascii="黑体" w:hAnsi="黑体" w:eastAsia="黑体"/>
          <w:b w:val="0"/>
          <w:bCs w:val="0"/>
          <w:w w:val="100"/>
          <w:sz w:val="84"/>
          <w:szCs w:val="84"/>
        </w:rPr>
      </w:pPr>
      <w:bookmarkStart w:id="2" w:name="_Hlk26473981"/>
      <w:r>
        <w:rPr>
          <w:rFonts w:hint="eastAsia" w:ascii="黑体" w:eastAsia="黑体"/>
          <w:b w:val="0"/>
          <w:w w:val="100"/>
          <w:sz w:val="84"/>
          <w:szCs w:val="84"/>
        </w:rPr>
        <w:t>团体</w:t>
      </w:r>
      <w:r>
        <w:rPr>
          <w:rFonts w:hint="eastAsia" w:ascii="黑体" w:hAnsi="黑体" w:eastAsia="黑体"/>
          <w:b w:val="0"/>
          <w:bCs w:val="0"/>
          <w:w w:val="100"/>
          <w:sz w:val="84"/>
          <w:szCs w:val="84"/>
        </w:rPr>
        <w:t>标准</w:t>
      </w:r>
    </w:p>
    <w:bookmarkEnd w:id="2"/>
    <w:p w14:paraId="1DD29811">
      <w:pPr>
        <w:pStyle w:val="195"/>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lang w:val="en-US" w:eastAsia="zh-CN"/>
        </w:rPr>
        <w:t>DLAS</w:t>
      </w:r>
      <w:bookmarkStart w:id="46" w:name="_GoBack"/>
      <w:bookmarkEnd w:id="46"/>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5AFD4031">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3018A56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39E7345">
      <w:pPr>
        <w:pStyle w:val="50"/>
        <w:framePr w:w="9639" w:h="6976" w:hRule="exact" w:hSpace="0" w:vSpace="0" w:wrap="around" w:hAnchor="page" w:y="6408"/>
        <w:jc w:val="center"/>
        <w:rPr>
          <w:rFonts w:ascii="黑体" w:hAnsi="黑体" w:eastAsia="黑体"/>
          <w:b w:val="0"/>
          <w:bCs w:val="0"/>
          <w:w w:val="100"/>
        </w:rPr>
      </w:pPr>
    </w:p>
    <w:p w14:paraId="519F63A6">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温室气体 产品碳足迹量化方法与要求 互感器</w:t>
      </w:r>
      <w:r>
        <w:fldChar w:fldCharType="end"/>
      </w:r>
      <w:bookmarkEnd w:id="7"/>
    </w:p>
    <w:p w14:paraId="66713A12">
      <w:pPr>
        <w:framePr w:w="9639" w:h="6974" w:hRule="exact" w:wrap="around" w:vAnchor="page" w:hAnchor="page" w:x="1419" w:y="6408" w:anchorLock="1"/>
        <w:ind w:left="-1418"/>
      </w:pPr>
    </w:p>
    <w:p w14:paraId="0F1B03F7">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t>Greenhouse gas- quantitative methods and requirements for product carbon footprint- Instrument Transformer Products     </w:t>
      </w:r>
      <w:r>
        <w:rPr>
          <w:rFonts w:eastAsia="黑体"/>
          <w:szCs w:val="28"/>
        </w:rPr>
        <w:fldChar w:fldCharType="end"/>
      </w:r>
      <w:bookmarkEnd w:id="8"/>
    </w:p>
    <w:p w14:paraId="5AC58927">
      <w:pPr>
        <w:framePr w:w="9639" w:h="6974" w:hRule="exact" w:wrap="around" w:vAnchor="page" w:hAnchor="page" w:x="1419" w:y="6408" w:anchorLock="1"/>
        <w:spacing w:line="760" w:lineRule="exact"/>
        <w:ind w:left="-1418"/>
      </w:pPr>
    </w:p>
    <w:p w14:paraId="293DE0C7">
      <w:pPr>
        <w:pStyle w:val="125"/>
        <w:framePr w:w="9639" w:h="6974" w:hRule="exact" w:wrap="around" w:vAnchor="page" w:hAnchor="page" w:x="1419" w:y="6408" w:anchorLock="1"/>
        <w:textAlignment w:val="bottom"/>
        <w:rPr>
          <w:rFonts w:eastAsia="黑体"/>
          <w:szCs w:val="28"/>
        </w:rPr>
      </w:pPr>
    </w:p>
    <w:p w14:paraId="78A7B9C4">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682C039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2560CA4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6ED6292B">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394B5B47">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649D438C">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Ansi="黑体"/>
          <w:w w:val="100"/>
          <w:sz w:val="28"/>
        </w:rPr>
        <w:t>大连市标准化协会</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68E49B5">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E3D16DA">
      <w:pPr>
        <w:pStyle w:val="89"/>
        <w:spacing w:before="560" w:after="360"/>
      </w:pPr>
      <w:bookmarkStart w:id="19" w:name="BookMark2"/>
      <w:r>
        <w:rPr>
          <w:spacing w:val="320"/>
        </w:rPr>
        <w:t>前</w:t>
      </w:r>
      <w:r>
        <w:t>言</w:t>
      </w:r>
    </w:p>
    <w:p w14:paraId="2E85CD87">
      <w:pPr>
        <w:pStyle w:val="56"/>
        <w:ind w:firstLine="420"/>
      </w:pPr>
      <w:r>
        <w:rPr>
          <w:rFonts w:hint="eastAsia"/>
        </w:rPr>
        <w:t>本文件按照GB/T 1.1—2020《标准化工作导则  第1部分：标准化文件的结构和起草规则》的规定起草。</w:t>
      </w:r>
    </w:p>
    <w:p w14:paraId="2C056069">
      <w:pPr>
        <w:pStyle w:val="56"/>
        <w:ind w:firstLine="420"/>
      </w:pPr>
      <w:r>
        <w:rPr>
          <w:rFonts w:hint="eastAsia"/>
        </w:rPr>
        <w:t>请注意本文件的某些内容可能涉及专利。本文件的发布机构不承担识别专利的责任。</w:t>
      </w:r>
    </w:p>
    <w:p w14:paraId="01FEBCBA">
      <w:pPr>
        <w:pStyle w:val="56"/>
        <w:ind w:firstLine="420"/>
      </w:pPr>
      <w:r>
        <w:rPr>
          <w:rFonts w:hint="eastAsia"/>
        </w:rPr>
        <w:t>本文件由大连市标准化协会提出并归口。</w:t>
      </w:r>
    </w:p>
    <w:p w14:paraId="402061DC">
      <w:pPr>
        <w:pStyle w:val="56"/>
        <w:ind w:firstLine="420"/>
      </w:pPr>
      <w:r>
        <w:rPr>
          <w:rFonts w:hint="eastAsia"/>
        </w:rPr>
        <w:t>本文件起草单位：中国船级社质量认证有限公司辽宁分公司、大连汇能咨询有限公司、大连北方互感器集团有限公司、大连第二互感器集团有限公司、大连连碳环境工程技术有限公司。</w:t>
      </w:r>
    </w:p>
    <w:p w14:paraId="323E6195">
      <w:pPr>
        <w:pStyle w:val="56"/>
        <w:ind w:firstLine="420"/>
      </w:pPr>
      <w:r>
        <w:rPr>
          <w:rFonts w:hint="eastAsia"/>
        </w:rPr>
        <w:t>本文件主要起草人：李娜、李媛娣、白成东、王晓童、王龙丹。</w:t>
      </w:r>
    </w:p>
    <w:p w14:paraId="7691079B">
      <w:pPr>
        <w:pStyle w:val="56"/>
        <w:ind w:firstLine="420"/>
      </w:pPr>
    </w:p>
    <w:p w14:paraId="3402CA95">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p>
    <w:bookmarkEnd w:id="19"/>
    <w:p w14:paraId="30555C80">
      <w:pPr>
        <w:pStyle w:val="89"/>
        <w:spacing w:after="360"/>
      </w:pPr>
      <w:bookmarkStart w:id="20" w:name="BookMark3"/>
      <w:r>
        <w:rPr>
          <w:spacing w:val="320"/>
        </w:rPr>
        <w:t>引</w:t>
      </w:r>
      <w:r>
        <w:t>言</w:t>
      </w:r>
    </w:p>
    <w:p w14:paraId="74308590">
      <w:pPr>
        <w:pStyle w:val="56"/>
        <w:ind w:firstLine="420"/>
      </w:pPr>
      <w:r>
        <w:rPr>
          <w:rFonts w:hint="eastAsia"/>
        </w:rPr>
        <w:t>为应对气候变化，推动电力行业绿色低碳转型，建立健全互感器产品全生命周期碳足迹核算体系至关重要。本标准旨在为互感器制造商、供应链企业及相关方提供统一、规范、可操作的碳足迹核算方法学指导，助力企业识别碳减排关键环节，提升产品绿色竞争力，并为下游用户开展低碳采购和碳信息披露提供依据。</w:t>
      </w:r>
    </w:p>
    <w:p w14:paraId="73E26C41">
      <w:pPr>
        <w:pStyle w:val="56"/>
        <w:ind w:firstLine="420"/>
      </w:pPr>
      <w:r>
        <w:rPr>
          <w:rFonts w:hint="eastAsia"/>
        </w:rPr>
        <w:t>本文件在编制过程中，充分考虑了互感器产品的材料构成多样性、生产工艺复杂性以及供应链全球化等特点，力求科学性与实用性相结合。</w:t>
      </w:r>
    </w:p>
    <w:p w14:paraId="750E98FB">
      <w:pPr>
        <w:pStyle w:val="56"/>
        <w:ind w:firstLine="420"/>
      </w:pPr>
      <w:r>
        <w:rPr>
          <w:rFonts w:hint="eastAsia"/>
        </w:rPr>
        <w:t>关键词：温室气体 产品碳足迹量化方法与要求 互感器产品</w:t>
      </w:r>
    </w:p>
    <w:p w14:paraId="7BD3869B">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0"/>
    <w:p w14:paraId="2801C6B2">
      <w:pPr>
        <w:spacing w:line="20" w:lineRule="exact"/>
        <w:jc w:val="center"/>
        <w:rPr>
          <w:rFonts w:ascii="黑体" w:hAnsi="黑体" w:eastAsia="黑体"/>
          <w:sz w:val="32"/>
          <w:szCs w:val="32"/>
        </w:rPr>
      </w:pPr>
      <w:bookmarkStart w:id="21" w:name="BookMark4"/>
    </w:p>
    <w:p w14:paraId="5650BC62">
      <w:pPr>
        <w:spacing w:line="20" w:lineRule="exact"/>
        <w:jc w:val="center"/>
        <w:rPr>
          <w:rFonts w:ascii="黑体" w:hAnsi="黑体" w:eastAsia="黑体"/>
          <w:sz w:val="32"/>
          <w:szCs w:val="32"/>
        </w:rPr>
      </w:pPr>
    </w:p>
    <w:sdt>
      <w:sdtPr>
        <w:tag w:val="NEW_STAND_NAME"/>
        <w:id w:val="595910757"/>
        <w:lock w:val="sdtLocked"/>
        <w:placeholder>
          <w:docPart w:val="5B5E7E7252BA4782A209D69ABE7F73D4"/>
        </w:placeholder>
      </w:sdtPr>
      <w:sdtContent>
        <w:p w14:paraId="58111278">
          <w:pPr>
            <w:pStyle w:val="177"/>
            <w:spacing w:before="2" w:beforeLines="1" w:after="528" w:afterLines="220"/>
          </w:pPr>
          <w:bookmarkStart w:id="22" w:name="NEW_STAND_NAME"/>
          <w:r>
            <w:rPr>
              <w:rFonts w:hint="eastAsia"/>
            </w:rPr>
            <w:t>温室气体</w:t>
          </w:r>
          <w:r>
            <w:t xml:space="preserve"> 产品碳足迹量化方法与要求 互感器</w:t>
          </w:r>
        </w:p>
      </w:sdtContent>
    </w:sdt>
    <w:bookmarkEnd w:id="22"/>
    <w:p w14:paraId="762AAF00">
      <w:pPr>
        <w:pStyle w:val="104"/>
        <w:spacing w:before="240" w:after="240"/>
      </w:pPr>
      <w:bookmarkStart w:id="23" w:name="_Toc26718930"/>
      <w:bookmarkStart w:id="24" w:name="_Toc17233325"/>
      <w:bookmarkStart w:id="25" w:name="_Toc17233333"/>
      <w:bookmarkStart w:id="26" w:name="_Toc24884211"/>
      <w:bookmarkStart w:id="27" w:name="_Toc26648465"/>
      <w:bookmarkStart w:id="28" w:name="_Toc26986530"/>
      <w:bookmarkStart w:id="29" w:name="_Toc97192964"/>
      <w:bookmarkStart w:id="30" w:name="_Toc24884218"/>
      <w:bookmarkStart w:id="31" w:name="_Toc26986771"/>
      <w:r>
        <w:rPr>
          <w:rFonts w:hint="eastAsia"/>
        </w:rPr>
        <w:t>范围</w:t>
      </w:r>
      <w:bookmarkEnd w:id="23"/>
      <w:bookmarkEnd w:id="24"/>
      <w:bookmarkEnd w:id="25"/>
      <w:bookmarkEnd w:id="26"/>
      <w:bookmarkEnd w:id="27"/>
      <w:bookmarkEnd w:id="28"/>
      <w:bookmarkEnd w:id="29"/>
      <w:bookmarkEnd w:id="30"/>
      <w:bookmarkEnd w:id="31"/>
    </w:p>
    <w:p w14:paraId="5B3F1BEE">
      <w:pPr>
        <w:pStyle w:val="56"/>
        <w:ind w:firstLine="420"/>
      </w:pPr>
      <w:bookmarkStart w:id="32" w:name="_Toc17233326"/>
      <w:bookmarkStart w:id="33" w:name="_Toc17233334"/>
      <w:bookmarkStart w:id="34" w:name="_Toc24884212"/>
      <w:bookmarkStart w:id="35" w:name="_Toc26648466"/>
      <w:bookmarkStart w:id="36" w:name="_Toc24884219"/>
      <w:r>
        <w:rPr>
          <w:rFonts w:hint="eastAsia"/>
        </w:rPr>
        <w:t>本文件规定了互感器产品碳足迹核算的术语和定义、核算原则、核算范围与边界、核算流程与方法、数据质量要求、不确定性分析、结果解释及报告内容。</w:t>
      </w:r>
    </w:p>
    <w:p w14:paraId="29727E1B">
      <w:pPr>
        <w:pStyle w:val="56"/>
        <w:ind w:firstLine="420"/>
      </w:pPr>
      <w:r>
        <w:rPr>
          <w:rFonts w:hint="eastAsia"/>
        </w:rPr>
        <w:t>本文件适用于各类电压等级的电磁式电压互感器、电流互感器以及电子式互感器产品碳足迹的核算与报告。其他类型互感器可参照执行。</w:t>
      </w:r>
    </w:p>
    <w:p w14:paraId="59FF47B1">
      <w:pPr>
        <w:pStyle w:val="104"/>
        <w:spacing w:before="240" w:after="240"/>
      </w:pPr>
      <w:bookmarkStart w:id="37" w:name="_Toc26986772"/>
      <w:bookmarkStart w:id="38" w:name="_Toc97192965"/>
      <w:bookmarkStart w:id="39" w:name="_Toc26718931"/>
      <w:bookmarkStart w:id="40" w:name="_Toc269865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D0F4D65CB4B4416A9E00DA4E7078B5D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2C605CC">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8D8F839">
      <w:pPr>
        <w:pStyle w:val="56"/>
        <w:ind w:firstLine="420"/>
        <w:rPr>
          <w:rFonts w:ascii="宋体" w:hAnsi="宋体"/>
          <w:szCs w:val="21"/>
        </w:rPr>
      </w:pPr>
      <w:r>
        <w:rPr>
          <w:rFonts w:hint="eastAsia" w:ascii="宋体" w:hAnsi="宋体"/>
          <w:szCs w:val="21"/>
        </w:rPr>
        <w:t>GB/T 24040-2008  环境管理 生命周期评价 原则与框架</w:t>
      </w:r>
    </w:p>
    <w:p w14:paraId="150AC40A">
      <w:pPr>
        <w:pStyle w:val="56"/>
        <w:ind w:firstLine="420"/>
        <w:rPr>
          <w:rFonts w:ascii="宋体" w:hAnsi="宋体"/>
          <w:szCs w:val="21"/>
        </w:rPr>
      </w:pPr>
      <w:r>
        <w:rPr>
          <w:rFonts w:hint="eastAsia" w:ascii="宋体" w:hAnsi="宋体"/>
          <w:szCs w:val="21"/>
        </w:rPr>
        <w:t>GB/T 24044-2008  环境管理 生命周期评价 要求与指南</w:t>
      </w:r>
    </w:p>
    <w:p w14:paraId="36E09A62">
      <w:pPr>
        <w:pStyle w:val="56"/>
        <w:ind w:firstLine="420"/>
        <w:rPr>
          <w:rFonts w:ascii="宋体" w:hAnsi="宋体"/>
          <w:szCs w:val="21"/>
        </w:rPr>
      </w:pPr>
      <w:r>
        <w:rPr>
          <w:rFonts w:hint="eastAsia" w:ascii="宋体" w:hAnsi="宋体"/>
          <w:szCs w:val="21"/>
        </w:rPr>
        <w:t>GB/T 24025-2009  环境标志和声明 Ⅲ型环境声明 原则和程序</w:t>
      </w:r>
    </w:p>
    <w:p w14:paraId="2912BDE4">
      <w:pPr>
        <w:pStyle w:val="56"/>
        <w:ind w:firstLine="420"/>
        <w:rPr>
          <w:rFonts w:ascii="宋体" w:hAnsi="宋体"/>
          <w:szCs w:val="21"/>
        </w:rPr>
      </w:pPr>
      <w:r>
        <w:rPr>
          <w:rFonts w:hint="eastAsia" w:ascii="宋体" w:hAnsi="宋体"/>
          <w:szCs w:val="21"/>
        </w:rPr>
        <w:t>GB/T 24067-2024  温室气体 产品碳足迹 量化要求和指南</w:t>
      </w:r>
    </w:p>
    <w:p w14:paraId="3877A303">
      <w:pPr>
        <w:pStyle w:val="56"/>
        <w:ind w:firstLine="420"/>
        <w:rPr>
          <w:rFonts w:ascii="宋体" w:hAnsi="宋体"/>
          <w:szCs w:val="21"/>
        </w:rPr>
      </w:pPr>
      <w:r>
        <w:rPr>
          <w:rFonts w:hint="eastAsia" w:ascii="宋体" w:hAnsi="宋体"/>
          <w:szCs w:val="21"/>
        </w:rPr>
        <w:t>GB/T 32150-2015  工业企业温室气体核算和报告通则</w:t>
      </w:r>
    </w:p>
    <w:p w14:paraId="79C502A7">
      <w:pPr>
        <w:pStyle w:val="56"/>
        <w:ind w:firstLine="420"/>
        <w:rPr>
          <w:rFonts w:ascii="宋体" w:hAnsi="宋体"/>
          <w:szCs w:val="21"/>
        </w:rPr>
      </w:pPr>
      <w:r>
        <w:rPr>
          <w:rFonts w:ascii="宋体" w:hAnsi="宋体"/>
          <w:szCs w:val="21"/>
        </w:rPr>
        <w:t>ISO 14067 Greenhouse gases — Carbon footprint of products — Requirements and guidelines for quantification</w:t>
      </w:r>
    </w:p>
    <w:p w14:paraId="701756DE">
      <w:pPr>
        <w:pStyle w:val="56"/>
        <w:ind w:firstLine="420"/>
        <w:rPr>
          <w:rFonts w:ascii="宋体" w:hAnsi="宋体"/>
          <w:szCs w:val="21"/>
        </w:rPr>
      </w:pPr>
      <w:r>
        <w:rPr>
          <w:rFonts w:ascii="宋体" w:hAnsi="宋体"/>
          <w:szCs w:val="21"/>
        </w:rPr>
        <w:t>GHG Protocol Product Life Cycle Accounting and Reporting Standard</w:t>
      </w:r>
    </w:p>
    <w:p w14:paraId="6297A675">
      <w:pPr>
        <w:pStyle w:val="104"/>
        <w:spacing w:before="240" w:after="240"/>
      </w:pPr>
      <w:bookmarkStart w:id="41" w:name="_Toc97192966"/>
      <w:r>
        <w:rPr>
          <w:rFonts w:hint="eastAsia"/>
          <w:szCs w:val="21"/>
        </w:rPr>
        <w:t>术语和定义</w:t>
      </w:r>
      <w:bookmarkEnd w:id="41"/>
    </w:p>
    <w:sdt>
      <w:sdtPr>
        <w:id w:val="-1909835108"/>
        <w:placeholder>
          <w:docPart w:val="FDF5FFD9E9214F7291694E3A18080C9E"/>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929ECB0">
          <w:pPr>
            <w:pStyle w:val="56"/>
            <w:ind w:firstLine="420"/>
          </w:pPr>
          <w:bookmarkStart w:id="42" w:name="_Toc26986532"/>
          <w:bookmarkEnd w:id="42"/>
          <w:r>
            <w:t>GB/T 24040、GB/T 24044、 GB/T 24025、GB/T 24067、ISO 14067界定的以及下列术语和定义适用于本文件。</w:t>
          </w:r>
        </w:p>
      </w:sdtContent>
    </w:sdt>
    <w:p w14:paraId="328BE1BC">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互感器</w:t>
      </w:r>
      <w:r>
        <w:rPr>
          <w:rFonts w:ascii="黑体" w:hAnsi="黑体" w:eastAsia="黑体"/>
        </w:rPr>
        <w:t xml:space="preserve">  </w:t>
      </w:r>
      <w:r>
        <w:rPr>
          <w:rFonts w:hint="eastAsia" w:ascii="黑体" w:hAnsi="黑体" w:eastAsia="黑体"/>
        </w:rPr>
        <w:t>instrument transformer</w:t>
      </w:r>
    </w:p>
    <w:p w14:paraId="4A3A0419">
      <w:pPr>
        <w:pStyle w:val="56"/>
        <w:ind w:firstLine="420"/>
      </w:pPr>
      <w:r>
        <w:rPr>
          <w:rFonts w:hint="eastAsia"/>
        </w:rPr>
        <w:t>旨在向测量仪器、仪表和保护或控制装置或者类似电器传送信息信号的变压器或装置。</w:t>
      </w:r>
    </w:p>
    <w:p w14:paraId="3E88F29E">
      <w:pPr>
        <w:pStyle w:val="56"/>
        <w:ind w:firstLine="420"/>
      </w:pPr>
      <w:r>
        <w:rPr>
          <w:rFonts w:hint="eastAsia"/>
        </w:rPr>
        <w:t>[来源：</w:t>
      </w:r>
      <w:r>
        <w:t xml:space="preserve">GB/T </w:t>
      </w:r>
      <w:r>
        <w:rPr>
          <w:rFonts w:hint="eastAsia"/>
        </w:rPr>
        <w:t xml:space="preserve"> 2900.94</w:t>
      </w:r>
      <w:r>
        <w:t>-2015，定义</w:t>
      </w:r>
      <w:r>
        <w:rPr>
          <w:rFonts w:hint="eastAsia"/>
        </w:rPr>
        <w:t>2</w:t>
      </w:r>
      <w:r>
        <w:t>.1</w:t>
      </w:r>
      <w:r>
        <w:rPr>
          <w:rFonts w:hint="eastAsia"/>
        </w:rPr>
        <w:t>]</w:t>
      </w:r>
    </w:p>
    <w:p w14:paraId="37D36A83">
      <w:pPr>
        <w:pStyle w:val="223"/>
        <w:ind w:left="420" w:hanging="420" w:hangingChars="200"/>
        <w:rPr>
          <w:rFonts w:ascii="Times New Roman" w:eastAsia="黑体"/>
        </w:rPr>
      </w:pPr>
      <w:r>
        <w:rPr>
          <w:rFonts w:ascii="黑体" w:hAnsi="黑体" w:eastAsia="黑体"/>
        </w:rPr>
        <w:br w:type="textWrapping"/>
      </w:r>
      <w:r>
        <w:rPr>
          <w:rFonts w:ascii="黑体" w:hAnsi="黑体" w:eastAsia="黑体"/>
        </w:rPr>
        <w:t>温室气体</w:t>
      </w:r>
      <w:r>
        <w:rPr>
          <w:rFonts w:ascii="Times New Roman" w:eastAsia="黑体"/>
        </w:rPr>
        <w:t xml:space="preserve">  greenhouse gas</w:t>
      </w:r>
      <w:r>
        <w:rPr>
          <w:rFonts w:ascii="黑体" w:hAnsi="黑体" w:eastAsia="黑体"/>
        </w:rPr>
        <w:t>，</w:t>
      </w:r>
      <w:r>
        <w:rPr>
          <w:rFonts w:ascii="Times New Roman" w:eastAsia="黑体"/>
        </w:rPr>
        <w:t>GHG</w:t>
      </w:r>
    </w:p>
    <w:p w14:paraId="3E8C8886">
      <w:pPr>
        <w:pStyle w:val="56"/>
        <w:ind w:firstLine="420"/>
      </w:pPr>
      <w:r>
        <w:t>大气层中自然存在的和由于人类活动产生的能够吸收和散发由地球表面、大气层和云层所产生的、波长在红外光谱内的辐射的气态成分。</w:t>
      </w:r>
    </w:p>
    <w:p w14:paraId="3C200CD4">
      <w:pPr>
        <w:pStyle w:val="56"/>
        <w:ind w:firstLine="420"/>
      </w:pPr>
      <w:r>
        <w:rPr>
          <w:rFonts w:hint="eastAsia"/>
        </w:rPr>
        <w:t>[来源：</w:t>
      </w:r>
      <w:r>
        <w:t>GB/T 32150-2015，定义3.1</w:t>
      </w:r>
      <w:r>
        <w:rPr>
          <w:rFonts w:hint="eastAsia"/>
        </w:rPr>
        <w:t>]</w:t>
      </w:r>
    </w:p>
    <w:p w14:paraId="3670462F">
      <w:pPr>
        <w:pStyle w:val="179"/>
        <w:rPr>
          <w:rFonts w:ascii="Times New Roman"/>
        </w:rPr>
      </w:pPr>
      <w:r>
        <w:t>如无特别说明，本标准中的温室气体包括二氧化碳</w:t>
      </w:r>
      <w:r>
        <w:rPr>
          <w:rFonts w:ascii="Times New Roman"/>
        </w:rPr>
        <w:t>(CO</w:t>
      </w:r>
      <w:r>
        <w:rPr>
          <w:rFonts w:ascii="Times New Roman"/>
          <w:vertAlign w:val="subscript"/>
        </w:rPr>
        <w:t>2</w:t>
      </w:r>
      <w:r>
        <w:rPr>
          <w:rFonts w:ascii="Times New Roman"/>
        </w:rPr>
        <w:t>)</w:t>
      </w:r>
      <w:r>
        <w:t>、甲烷</w:t>
      </w:r>
      <w:r>
        <w:rPr>
          <w:rFonts w:ascii="Times New Roman"/>
        </w:rPr>
        <w:t>(CH</w:t>
      </w:r>
      <w:r>
        <w:rPr>
          <w:rFonts w:ascii="Times New Roman"/>
          <w:vertAlign w:val="subscript"/>
        </w:rPr>
        <w:t>4</w:t>
      </w:r>
      <w:r>
        <w:rPr>
          <w:rFonts w:ascii="Times New Roman"/>
        </w:rPr>
        <w:t>)</w:t>
      </w:r>
      <w:r>
        <w:t>、氧化亚氨</w:t>
      </w:r>
      <w:r>
        <w:rPr>
          <w:rFonts w:ascii="Times New Roman"/>
        </w:rPr>
        <w:t>(N</w:t>
      </w:r>
      <w:r>
        <w:rPr>
          <w:rFonts w:ascii="Times New Roman"/>
          <w:vertAlign w:val="subscript"/>
        </w:rPr>
        <w:t>2</w:t>
      </w:r>
      <w:r>
        <w:rPr>
          <w:rFonts w:ascii="Times New Roman"/>
        </w:rPr>
        <w:t>O)</w:t>
      </w:r>
      <w:r>
        <w:t>、氢氟碳化物</w:t>
      </w:r>
      <w:r>
        <w:rPr>
          <w:rFonts w:ascii="Times New Roman"/>
        </w:rPr>
        <w:t>(HFC</w:t>
      </w:r>
      <w:r>
        <w:rPr>
          <w:rFonts w:ascii="Times New Roman"/>
          <w:vertAlign w:val="subscript"/>
        </w:rPr>
        <w:t>S</w:t>
      </w:r>
      <w:r>
        <w:rPr>
          <w:rFonts w:ascii="Times New Roman"/>
        </w:rPr>
        <w:t>)</w:t>
      </w:r>
      <w:r>
        <w:t>、全氟碳化物</w:t>
      </w:r>
      <w:r>
        <w:rPr>
          <w:rFonts w:ascii="Times New Roman"/>
        </w:rPr>
        <w:t>(PFC</w:t>
      </w:r>
      <w:r>
        <w:rPr>
          <w:rFonts w:ascii="Times New Roman"/>
          <w:vertAlign w:val="subscript"/>
        </w:rPr>
        <w:t>S</w:t>
      </w:r>
      <w:r>
        <w:rPr>
          <w:rFonts w:ascii="Times New Roman"/>
        </w:rPr>
        <w:t>)</w:t>
      </w:r>
      <w:r>
        <w:t>六氟化硫</w:t>
      </w:r>
      <w:r>
        <w:rPr>
          <w:rFonts w:ascii="Times New Roman"/>
        </w:rPr>
        <w:t>(SF</w:t>
      </w:r>
      <w:r>
        <w:rPr>
          <w:rFonts w:ascii="Times New Roman"/>
          <w:vertAlign w:val="subscript"/>
        </w:rPr>
        <w:t>6</w:t>
      </w:r>
      <w:r>
        <w:rPr>
          <w:rFonts w:ascii="Times New Roman"/>
        </w:rPr>
        <w:t>)</w:t>
      </w:r>
      <w:r>
        <w:t>与三氟化氮</w:t>
      </w:r>
      <w:r>
        <w:rPr>
          <w:rFonts w:ascii="Times New Roman"/>
        </w:rPr>
        <w:t>(NF</w:t>
      </w:r>
      <w:r>
        <w:rPr>
          <w:rFonts w:ascii="Times New Roman"/>
          <w:vertAlign w:val="subscript"/>
        </w:rPr>
        <w:t>3</w:t>
      </w:r>
      <w:r>
        <w:rPr>
          <w:rFonts w:ascii="Times New Roman"/>
        </w:rPr>
        <w:t>)</w:t>
      </w:r>
      <w:r>
        <w:t>。</w:t>
      </w:r>
    </w:p>
    <w:p w14:paraId="7C9878B0">
      <w:pPr>
        <w:pStyle w:val="223"/>
        <w:ind w:left="420" w:hanging="420" w:hangingChars="200"/>
        <w:rPr>
          <w:rFonts w:ascii="Times New Roman" w:eastAsia="黑体"/>
        </w:rPr>
      </w:pPr>
      <w:r>
        <w:rPr>
          <w:rFonts w:ascii="黑体" w:hAnsi="黑体" w:eastAsia="黑体"/>
        </w:rPr>
        <w:br w:type="textWrapping"/>
      </w:r>
      <w:r>
        <w:rPr>
          <w:rFonts w:ascii="黑体" w:hAnsi="黑体" w:eastAsia="黑体"/>
        </w:rPr>
        <w:t>温室气体排放量</w:t>
      </w:r>
      <w:r>
        <w:rPr>
          <w:rFonts w:ascii="Times New Roman" w:eastAsia="黑体"/>
        </w:rPr>
        <w:t xml:space="preserve">  greenhouse gas emission</w:t>
      </w:r>
      <w:r>
        <w:rPr>
          <w:rFonts w:ascii="黑体" w:hAnsi="黑体" w:eastAsia="黑体"/>
        </w:rPr>
        <w:t>，</w:t>
      </w:r>
      <w:r>
        <w:rPr>
          <w:rFonts w:ascii="Times New Roman" w:eastAsia="黑体"/>
        </w:rPr>
        <w:t>GHG emission</w:t>
      </w:r>
    </w:p>
    <w:p w14:paraId="04A58759">
      <w:pPr>
        <w:pStyle w:val="56"/>
        <w:ind w:firstLine="420"/>
      </w:pPr>
      <w:r>
        <w:t>在特定时段内释放到大气中的温室气体总量(以质量单位计算)。</w:t>
      </w:r>
    </w:p>
    <w:p w14:paraId="4F751143">
      <w:pPr>
        <w:pStyle w:val="56"/>
        <w:ind w:firstLine="420"/>
      </w:pPr>
      <w:r>
        <w:rPr>
          <w:rFonts w:hint="eastAsia"/>
        </w:rPr>
        <w:t>[来源：GB/T 32150-2015，定义3.6]</w:t>
      </w:r>
    </w:p>
    <w:p w14:paraId="66D36C2A">
      <w:pPr>
        <w:pStyle w:val="223"/>
        <w:ind w:left="420" w:hanging="420" w:hangingChars="200"/>
        <w:rPr>
          <w:rFonts w:ascii="黑体" w:hAnsi="黑体" w:eastAsia="黑体"/>
        </w:rPr>
      </w:pPr>
      <w:r>
        <w:rPr>
          <w:rFonts w:ascii="黑体" w:hAnsi="黑体" w:eastAsia="黑体" w:cs="Helvetica"/>
        </w:rPr>
        <w:br w:type="textWrapping"/>
      </w:r>
      <w:r>
        <w:rPr>
          <w:rFonts w:ascii="黑体" w:hAnsi="黑体" w:eastAsia="黑体"/>
        </w:rPr>
        <w:t>温室气体清除量  greenhouse gas removal，GHG removal</w:t>
      </w:r>
    </w:p>
    <w:p w14:paraId="2B982271">
      <w:pPr>
        <w:pStyle w:val="56"/>
        <w:ind w:firstLine="420"/>
      </w:pPr>
      <w:r>
        <w:t>在特定时段内从大气中清除的温室气体总量(以质量单位计算)。</w:t>
      </w:r>
    </w:p>
    <w:p w14:paraId="2FDD6871">
      <w:pPr>
        <w:pStyle w:val="56"/>
        <w:ind w:firstLine="420"/>
        <w:rPr>
          <w:sz w:val="18"/>
          <w:szCs w:val="18"/>
        </w:rPr>
      </w:pPr>
      <w:r>
        <w:rPr>
          <w:rFonts w:hint="eastAsia"/>
        </w:rPr>
        <w:t>[来源：GB/T 24067-2024，定义3.2.6]</w:t>
      </w:r>
    </w:p>
    <w:p w14:paraId="6A7BBF48">
      <w:pPr>
        <w:pStyle w:val="223"/>
        <w:ind w:left="420" w:hanging="420" w:hangingChars="200"/>
        <w:rPr>
          <w:rFonts w:ascii="黑体" w:hAnsi="黑体" w:eastAsia="黑体"/>
        </w:rPr>
      </w:pPr>
      <w:r>
        <w:rPr>
          <w:rFonts w:ascii="黑体" w:hAnsi="黑体" w:eastAsia="黑体" w:cs="Helvetica"/>
        </w:rPr>
        <w:br w:type="textWrapping"/>
      </w:r>
      <w:r>
        <w:rPr>
          <w:rFonts w:ascii="黑体" w:hAnsi="黑体" w:eastAsia="黑体"/>
        </w:rPr>
        <w:t>温室气体排放因子  greenhouse gas emission factor，GHG emission factor</w:t>
      </w:r>
    </w:p>
    <w:p w14:paraId="7BD05822">
      <w:pPr>
        <w:pStyle w:val="56"/>
        <w:ind w:firstLine="420"/>
      </w:pPr>
      <w:r>
        <w:t>活动数据与温室气体排放相关的系数。</w:t>
      </w:r>
    </w:p>
    <w:p w14:paraId="0908B809">
      <w:pPr>
        <w:pStyle w:val="56"/>
        <w:ind w:firstLine="420"/>
        <w:rPr>
          <w:rFonts w:ascii="Helvetica" w:hAnsi="Helvetica" w:cs="Helvetica"/>
        </w:rPr>
      </w:pPr>
      <w:r>
        <w:rPr>
          <w:rFonts w:hint="eastAsia"/>
        </w:rPr>
        <w:t>[来源：</w:t>
      </w:r>
      <w:r>
        <w:t>GB/T 24067-2024，定义3.2.7</w:t>
      </w:r>
      <w:r>
        <w:rPr>
          <w:rFonts w:hint="eastAsia"/>
        </w:rPr>
        <w:t>]</w:t>
      </w:r>
      <w:r>
        <w:rPr>
          <w:rFonts w:ascii="Helvetica" w:hAnsi="Helvetica" w:cs="Helvetica"/>
        </w:rPr>
        <w:t xml:space="preserve"> </w:t>
      </w:r>
    </w:p>
    <w:p w14:paraId="7759C365">
      <w:pPr>
        <w:pStyle w:val="223"/>
        <w:ind w:left="420" w:hanging="420" w:hangingChars="200"/>
        <w:rPr>
          <w:rFonts w:ascii="Times New Roman" w:eastAsia="黑体"/>
        </w:rPr>
      </w:pPr>
      <w:r>
        <w:rPr>
          <w:rFonts w:ascii="黑体" w:hAnsi="黑体" w:eastAsia="黑体"/>
        </w:rPr>
        <w:br w:type="textWrapping"/>
      </w:r>
      <w:r>
        <w:rPr>
          <w:rFonts w:hint="eastAsia" w:ascii="黑体" w:hAnsi="黑体" w:eastAsia="黑体"/>
        </w:rPr>
        <w:t>产品碳足迹</w:t>
      </w:r>
      <w:r>
        <w:rPr>
          <w:rFonts w:ascii="Times New Roman" w:eastAsia="黑体"/>
        </w:rPr>
        <w:t xml:space="preserve">  </w:t>
      </w:r>
      <w:r>
        <w:rPr>
          <w:rFonts w:hint="eastAsia" w:ascii="Times New Roman" w:eastAsia="黑体"/>
        </w:rPr>
        <w:t>carbon footprint of a product</w:t>
      </w:r>
      <w:r>
        <w:rPr>
          <w:rFonts w:hint="eastAsia" w:ascii="黑体" w:hAnsi="黑体" w:eastAsia="黑体"/>
        </w:rPr>
        <w:t>，</w:t>
      </w:r>
      <w:r>
        <w:rPr>
          <w:rFonts w:hint="eastAsia" w:ascii="Times New Roman" w:eastAsia="黑体"/>
        </w:rPr>
        <w:t>CFP</w:t>
      </w:r>
    </w:p>
    <w:p w14:paraId="7762BBD6">
      <w:pPr>
        <w:pStyle w:val="56"/>
        <w:ind w:firstLine="420"/>
        <w:rPr>
          <w:rFonts w:ascii="Helvetica" w:hAnsi="Helvetica" w:cs="Helvetica"/>
        </w:rPr>
      </w:pPr>
      <w:r>
        <w:rPr>
          <w:rFonts w:hint="eastAsia" w:cs="Helvetica"/>
        </w:rPr>
        <w:t>产品系统中的</w:t>
      </w:r>
      <w:r>
        <w:rPr>
          <w:rFonts w:hint="eastAsia" w:ascii="Helvetica" w:hAnsi="Helvetica" w:cs="Helvetica"/>
        </w:rPr>
        <w:t>GHG</w:t>
      </w:r>
      <w:r>
        <w:rPr>
          <w:rFonts w:hint="eastAsia" w:cs="Helvetica"/>
        </w:rPr>
        <w:t>排放量和</w:t>
      </w:r>
      <w:r>
        <w:rPr>
          <w:rFonts w:hint="eastAsia" w:ascii="Helvetica" w:hAnsi="Helvetica" w:cs="Helvetica"/>
        </w:rPr>
        <w:t>GHG</w:t>
      </w:r>
      <w:r>
        <w:rPr>
          <w:rFonts w:hint="eastAsia" w:cs="Helvetica"/>
        </w:rPr>
        <w:t>清除量之和，以二氧化碳当量表示，并基于气候变化这一单一环境影响类型进行生命周期评价。</w:t>
      </w:r>
    </w:p>
    <w:p w14:paraId="24EDE4E5">
      <w:pPr>
        <w:pStyle w:val="56"/>
        <w:ind w:firstLine="420"/>
        <w:rPr>
          <w:rFonts w:ascii="Helvetica" w:hAnsi="Helvetica" w:cs="Helvetica"/>
        </w:rPr>
      </w:pPr>
      <w:r>
        <w:rPr>
          <w:rFonts w:hint="eastAsia"/>
        </w:rPr>
        <w:t>[来源：</w:t>
      </w:r>
      <w:r>
        <w:rPr>
          <w:rFonts w:hint="eastAsia" w:ascii="Helvetica" w:hAnsi="Helvetica" w:cs="Helvetica"/>
        </w:rPr>
        <w:t>GB/T 24067-2024</w:t>
      </w:r>
      <w:r>
        <w:rPr>
          <w:rFonts w:hint="eastAsia" w:cs="Helvetica"/>
        </w:rPr>
        <w:t>，定义</w:t>
      </w:r>
      <w:r>
        <w:rPr>
          <w:rFonts w:hint="eastAsia" w:ascii="Helvetica" w:hAnsi="Helvetica" w:cs="Helvetica"/>
        </w:rPr>
        <w:t>3.1.1</w:t>
      </w:r>
      <w:r>
        <w:rPr>
          <w:rFonts w:hint="eastAsia"/>
        </w:rPr>
        <w:t>]</w:t>
      </w:r>
      <w:r>
        <w:rPr>
          <w:rFonts w:hint="eastAsia" w:ascii="Helvetica" w:hAnsi="Helvetica" w:cs="Helvetica"/>
        </w:rPr>
        <w:t xml:space="preserve"> </w:t>
      </w:r>
    </w:p>
    <w:p w14:paraId="2192FE48">
      <w:pPr>
        <w:pStyle w:val="180"/>
        <w:rPr>
          <w:rFonts w:ascii="Helvetica" w:hAnsi="Helvetica"/>
        </w:rPr>
      </w:pPr>
      <w:r>
        <w:rPr>
          <w:rFonts w:hint="eastAsia"/>
        </w:rPr>
        <w:t>产品碳足迹可以被分解到其生命周期的各个阶段。</w:t>
      </w:r>
    </w:p>
    <w:p w14:paraId="6D190743">
      <w:pPr>
        <w:pStyle w:val="180"/>
        <w:rPr>
          <w:rFonts w:ascii="Helvetica" w:hAnsi="Helvetica"/>
        </w:rPr>
      </w:pPr>
      <w:r>
        <w:rPr>
          <w:rFonts w:hint="eastAsia"/>
        </w:rPr>
        <w:t>产品碳足迹研究报告中记录了产品碳足迹的量化结果，以每个功能单位的二氧化碳当量表示。</w:t>
      </w:r>
    </w:p>
    <w:p w14:paraId="5409CD1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全球变暖潜势</w:t>
      </w:r>
      <w:r>
        <w:rPr>
          <w:rFonts w:ascii="黑体" w:hAnsi="黑体" w:eastAsia="黑体"/>
        </w:rPr>
        <w:t xml:space="preserve">  </w:t>
      </w:r>
      <w:r>
        <w:rPr>
          <w:rFonts w:hint="eastAsia" w:ascii="黑体" w:hAnsi="黑体" w:eastAsia="黑体"/>
        </w:rPr>
        <w:t>global warming potential，GWP</w:t>
      </w:r>
    </w:p>
    <w:p w14:paraId="3F1E80F6">
      <w:pPr>
        <w:pStyle w:val="56"/>
        <w:ind w:firstLine="420"/>
        <w:rPr>
          <w:rFonts w:ascii="Helvetica" w:hAnsi="Helvetica" w:cs="Helvetica"/>
        </w:rPr>
      </w:pPr>
      <w:r>
        <w:rPr>
          <w:rFonts w:hint="eastAsia" w:cs="Helvetica"/>
        </w:rPr>
        <w:t>将单位质量的某种温室气体在给定时间段内辐射强迫的影响与等量二氧化碳辐射强度影响相关联的系数。</w:t>
      </w:r>
    </w:p>
    <w:p w14:paraId="009831F9">
      <w:pPr>
        <w:pStyle w:val="56"/>
        <w:ind w:firstLine="420"/>
        <w:rPr>
          <w:rFonts w:ascii="Helvetica" w:hAnsi="Helvetica" w:cs="Helvetica"/>
        </w:rPr>
      </w:pPr>
      <w:r>
        <w:rPr>
          <w:rFonts w:hint="eastAsia"/>
        </w:rPr>
        <w:t>[来源：GB/T 32150-2015，定义3.15]</w:t>
      </w:r>
      <w:r>
        <w:rPr>
          <w:rFonts w:hint="eastAsia" w:ascii="Helvetica" w:hAnsi="Helvetica" w:cs="Helvetica"/>
        </w:rPr>
        <w:t xml:space="preserve"> </w:t>
      </w:r>
    </w:p>
    <w:p w14:paraId="53C7E285">
      <w:pPr>
        <w:pStyle w:val="223"/>
        <w:ind w:left="420" w:hanging="420" w:hangingChars="200"/>
        <w:rPr>
          <w:rFonts w:ascii="Times New Roman" w:eastAsia="黑体"/>
        </w:rPr>
      </w:pPr>
      <w:r>
        <w:rPr>
          <w:rFonts w:ascii="黑体" w:hAnsi="黑体" w:eastAsia="黑体"/>
        </w:rPr>
        <w:br w:type="textWrapping"/>
      </w:r>
      <w:r>
        <w:rPr>
          <w:rFonts w:hint="eastAsia" w:ascii="黑体" w:hAnsi="黑体" w:eastAsia="黑体"/>
        </w:rPr>
        <w:t>二氧化碳当量</w:t>
      </w:r>
      <w:r>
        <w:rPr>
          <w:rFonts w:ascii="Times New Roman" w:eastAsia="黑体"/>
        </w:rPr>
        <w:t xml:space="preserve">  </w:t>
      </w:r>
      <w:r>
        <w:rPr>
          <w:rFonts w:hint="eastAsia" w:ascii="Times New Roman" w:eastAsia="黑体"/>
        </w:rPr>
        <w:t>carbon dioxide equivalent</w:t>
      </w:r>
      <w:r>
        <w:rPr>
          <w:rFonts w:hint="eastAsia" w:ascii="黑体" w:hAnsi="黑体" w:eastAsia="黑体"/>
        </w:rPr>
        <w:t>，</w:t>
      </w:r>
      <w:r>
        <w:rPr>
          <w:rFonts w:hint="eastAsia" w:ascii="Times New Roman" w:eastAsia="黑体"/>
        </w:rPr>
        <w:t>CO2e</w:t>
      </w:r>
    </w:p>
    <w:p w14:paraId="5C760D3D">
      <w:pPr>
        <w:pStyle w:val="56"/>
        <w:ind w:firstLine="420"/>
        <w:rPr>
          <w:rFonts w:ascii="Helvetica" w:hAnsi="Helvetica" w:cs="Helvetica"/>
        </w:rPr>
      </w:pPr>
      <w:r>
        <w:rPr>
          <w:rFonts w:hint="eastAsia" w:cs="Helvetica"/>
        </w:rPr>
        <w:t>在辐射强度上与某种温室气体质量相当的二氧化碳的量。</w:t>
      </w:r>
    </w:p>
    <w:p w14:paraId="23F4E9BB">
      <w:pPr>
        <w:pStyle w:val="56"/>
        <w:ind w:firstLine="420"/>
        <w:rPr>
          <w:rFonts w:ascii="Helvetica" w:hAnsi="Helvetica" w:cs="Helvetica"/>
        </w:rPr>
      </w:pPr>
      <w:r>
        <w:rPr>
          <w:rFonts w:hint="eastAsia"/>
        </w:rPr>
        <w:t>[来源：GB/T 32150-2015，定义3.16]</w:t>
      </w:r>
      <w:r>
        <w:rPr>
          <w:rFonts w:hint="eastAsia" w:ascii="Helvetica" w:hAnsi="Helvetica" w:cs="Helvetica"/>
        </w:rPr>
        <w:t xml:space="preserve"> </w:t>
      </w:r>
    </w:p>
    <w:p w14:paraId="04C220EE">
      <w:pPr>
        <w:pStyle w:val="179"/>
        <w:rPr>
          <w:rFonts w:ascii="Helvetica" w:hAnsi="Helvetica"/>
        </w:rPr>
      </w:pPr>
      <w:r>
        <w:rPr>
          <w:rFonts w:hint="eastAsia"/>
        </w:rPr>
        <w:t>二氧化碳当量等于给定温室气体的质量乘以它的全球变暖潜势值。</w:t>
      </w:r>
    </w:p>
    <w:p w14:paraId="1758A5D9">
      <w:pPr>
        <w:pStyle w:val="223"/>
        <w:ind w:left="420" w:hanging="420" w:hangingChars="200"/>
        <w:rPr>
          <w:rFonts w:ascii="黑体" w:hAnsi="黑体" w:eastAsia="黑体"/>
        </w:rPr>
      </w:pPr>
      <w:r>
        <w:rPr>
          <w:rFonts w:ascii="黑体" w:hAnsi="黑体" w:eastAsia="黑体" w:cs="Helvetica"/>
        </w:rPr>
        <w:br w:type="textWrapping"/>
      </w:r>
      <w:r>
        <w:rPr>
          <w:rFonts w:hint="eastAsia" w:ascii="黑体" w:hAnsi="黑体" w:eastAsia="黑体"/>
        </w:rPr>
        <w:t>生命周期</w:t>
      </w:r>
      <w:r>
        <w:rPr>
          <w:rFonts w:ascii="黑体" w:hAnsi="黑体" w:eastAsia="黑体"/>
        </w:rPr>
        <w:t xml:space="preserve">  </w:t>
      </w:r>
      <w:r>
        <w:rPr>
          <w:rFonts w:hint="eastAsia" w:ascii="黑体" w:hAnsi="黑体" w:eastAsia="黑体"/>
        </w:rPr>
        <w:t>life cycle</w:t>
      </w:r>
    </w:p>
    <w:p w14:paraId="13EE81B7">
      <w:pPr>
        <w:pStyle w:val="56"/>
        <w:ind w:firstLine="420"/>
        <w:rPr>
          <w:rFonts w:ascii="Helvetica" w:hAnsi="Helvetica" w:cs="Helvetica"/>
        </w:rPr>
      </w:pPr>
      <w:r>
        <w:rPr>
          <w:rFonts w:hint="eastAsia" w:cs="Helvetica"/>
        </w:rPr>
        <w:t>产品系统中前后衔接的一系列阶段</w:t>
      </w:r>
      <w:r>
        <w:rPr>
          <w:rFonts w:hint="eastAsia" w:ascii="Helvetica" w:hAnsi="Helvetica" w:cs="Helvetica"/>
        </w:rPr>
        <w:t>,</w:t>
      </w:r>
      <w:r>
        <w:rPr>
          <w:rFonts w:hint="eastAsia" w:cs="Helvetica"/>
        </w:rPr>
        <w:t>从自然界或从自然资源中获取原材料</w:t>
      </w:r>
      <w:r>
        <w:rPr>
          <w:rFonts w:hint="eastAsia" w:ascii="Helvetica" w:hAnsi="Helvetica" w:cs="Helvetica"/>
        </w:rPr>
        <w:t>,</w:t>
      </w:r>
      <w:r>
        <w:rPr>
          <w:rFonts w:hint="eastAsia" w:cs="Helvetica"/>
        </w:rPr>
        <w:t>直至最终处置</w:t>
      </w:r>
    </w:p>
    <w:p w14:paraId="37CA8F6F">
      <w:pPr>
        <w:pStyle w:val="56"/>
        <w:ind w:firstLine="420"/>
        <w:rPr>
          <w:rFonts w:ascii="Helvetica" w:hAnsi="Helvetica" w:cs="Helvetica"/>
        </w:rPr>
      </w:pPr>
      <w:r>
        <w:rPr>
          <w:rFonts w:hint="eastAsia"/>
        </w:rPr>
        <w:t>[来源：GB/T 24044-2008，定义3.1]</w:t>
      </w:r>
    </w:p>
    <w:p w14:paraId="5FD5F67E">
      <w:pPr>
        <w:pStyle w:val="223"/>
        <w:ind w:left="420" w:hanging="420" w:hangingChars="200"/>
        <w:rPr>
          <w:rFonts w:ascii="Times New Roman" w:eastAsia="黑体"/>
        </w:rPr>
      </w:pPr>
      <w:r>
        <w:rPr>
          <w:rFonts w:ascii="黑体" w:hAnsi="黑体" w:eastAsia="黑体"/>
        </w:rPr>
        <w:br w:type="textWrapping"/>
      </w:r>
      <w:r>
        <w:rPr>
          <w:rFonts w:hint="eastAsia" w:ascii="黑体" w:hAnsi="黑体" w:eastAsia="黑体"/>
        </w:rPr>
        <w:t>生命周期评价</w:t>
      </w:r>
      <w:r>
        <w:rPr>
          <w:rFonts w:ascii="Times New Roman" w:eastAsia="黑体"/>
        </w:rPr>
        <w:t xml:space="preserve">  </w:t>
      </w:r>
      <w:r>
        <w:rPr>
          <w:rFonts w:hint="eastAsia" w:ascii="Times New Roman" w:eastAsia="黑体"/>
        </w:rPr>
        <w:t>life cycle assessment</w:t>
      </w:r>
      <w:r>
        <w:rPr>
          <w:rFonts w:hint="eastAsia" w:ascii="黑体" w:hAnsi="黑体" w:eastAsia="黑体"/>
        </w:rPr>
        <w:t>，</w:t>
      </w:r>
      <w:r>
        <w:rPr>
          <w:rFonts w:hint="eastAsia" w:ascii="Times New Roman" w:eastAsia="黑体"/>
        </w:rPr>
        <w:t>LCA</w:t>
      </w:r>
    </w:p>
    <w:p w14:paraId="21C8B624">
      <w:pPr>
        <w:pStyle w:val="56"/>
        <w:ind w:firstLine="420"/>
        <w:rPr>
          <w:rFonts w:ascii="Helvetica" w:hAnsi="Helvetica" w:cs="Helvetica"/>
        </w:rPr>
      </w:pPr>
      <w:r>
        <w:rPr>
          <w:rFonts w:hint="eastAsia" w:cs="Helvetica"/>
        </w:rPr>
        <w:t>对一个产品系统的生命周期中输人、输出及其潜在环境影响的汇编和评价。</w:t>
      </w:r>
    </w:p>
    <w:p w14:paraId="0BFC4615">
      <w:pPr>
        <w:pStyle w:val="56"/>
        <w:ind w:firstLine="420"/>
        <w:rPr>
          <w:rFonts w:ascii="Helvetica" w:hAnsi="Helvetica" w:cs="Helvetica"/>
        </w:rPr>
      </w:pPr>
      <w:r>
        <w:rPr>
          <w:rFonts w:hint="eastAsia"/>
        </w:rPr>
        <w:t>[来源：</w:t>
      </w:r>
      <w:r>
        <w:rPr>
          <w:rFonts w:hint="eastAsia" w:ascii="Helvetica" w:hAnsi="Helvetica" w:cs="Helvetica"/>
        </w:rPr>
        <w:t>GB/T 24044-2008</w:t>
      </w:r>
      <w:r>
        <w:rPr>
          <w:rFonts w:hint="eastAsia" w:cs="Helvetica"/>
        </w:rPr>
        <w:t>，定义</w:t>
      </w:r>
      <w:r>
        <w:rPr>
          <w:rFonts w:hint="eastAsia" w:ascii="Helvetica" w:hAnsi="Helvetica" w:cs="Helvetica"/>
        </w:rPr>
        <w:t>3.2</w:t>
      </w:r>
      <w:r>
        <w:rPr>
          <w:rFonts w:hint="eastAsia"/>
        </w:rPr>
        <w:t>]</w:t>
      </w:r>
    </w:p>
    <w:p w14:paraId="52004FD2">
      <w:pPr>
        <w:pStyle w:val="223"/>
        <w:ind w:left="420" w:hanging="420" w:hangingChars="200"/>
        <w:rPr>
          <w:rFonts w:ascii="Times New Roman" w:eastAsia="黑体"/>
        </w:rPr>
      </w:pPr>
      <w:r>
        <w:rPr>
          <w:rFonts w:ascii="黑体" w:hAnsi="黑体" w:eastAsia="黑体"/>
        </w:rPr>
        <w:br w:type="textWrapping"/>
      </w:r>
      <w:r>
        <w:rPr>
          <w:rFonts w:hint="eastAsia" w:ascii="黑体" w:hAnsi="黑体" w:eastAsia="黑体"/>
        </w:rPr>
        <w:t xml:space="preserve">生命周期清单分析 </w:t>
      </w:r>
      <w:r>
        <w:rPr>
          <w:rFonts w:ascii="黑体" w:hAnsi="黑体" w:eastAsia="黑体"/>
        </w:rPr>
        <w:t xml:space="preserve"> </w:t>
      </w:r>
      <w:r>
        <w:rPr>
          <w:rFonts w:hint="eastAsia" w:ascii="Times New Roman" w:eastAsia="黑体"/>
        </w:rPr>
        <w:t>life cycle inventory analysis</w:t>
      </w:r>
      <w:r>
        <w:rPr>
          <w:rFonts w:hint="eastAsia" w:ascii="黑体" w:hAnsi="黑体" w:eastAsia="黑体"/>
        </w:rPr>
        <w:t>，</w:t>
      </w:r>
      <w:r>
        <w:rPr>
          <w:rFonts w:hint="eastAsia" w:ascii="Times New Roman" w:eastAsia="黑体"/>
        </w:rPr>
        <w:t>LCI</w:t>
      </w:r>
    </w:p>
    <w:p w14:paraId="09DAD53A">
      <w:pPr>
        <w:pStyle w:val="56"/>
        <w:ind w:firstLine="420"/>
        <w:rPr>
          <w:rFonts w:ascii="Helvetica" w:hAnsi="Helvetica" w:cs="Helvetica"/>
        </w:rPr>
      </w:pPr>
      <w:r>
        <w:rPr>
          <w:rFonts w:hint="eastAsia" w:cs="Helvetica"/>
        </w:rPr>
        <w:t>生命周期评价中对所研究产品整个生命周期中输入和输出进行汇编和量化的阶段。</w:t>
      </w:r>
    </w:p>
    <w:p w14:paraId="28809CFB">
      <w:pPr>
        <w:pStyle w:val="56"/>
        <w:ind w:firstLine="420"/>
        <w:rPr>
          <w:rFonts w:ascii="Helvetica" w:hAnsi="Helvetica" w:cs="Helvetica"/>
        </w:rPr>
      </w:pPr>
      <w:r>
        <w:rPr>
          <w:rFonts w:hint="eastAsia"/>
        </w:rPr>
        <w:t>[来源：</w:t>
      </w:r>
      <w:r>
        <w:rPr>
          <w:rFonts w:hint="eastAsia" w:ascii="Helvetica" w:hAnsi="Helvetica" w:cs="Helvetica"/>
        </w:rPr>
        <w:t>GB/T 24044-2008</w:t>
      </w:r>
      <w:r>
        <w:rPr>
          <w:rFonts w:hint="eastAsia" w:cs="Helvetica"/>
        </w:rPr>
        <w:t>，定义</w:t>
      </w:r>
      <w:r>
        <w:rPr>
          <w:rFonts w:hint="eastAsia" w:ascii="Helvetica" w:hAnsi="Helvetica" w:cs="Helvetica"/>
        </w:rPr>
        <w:t>3.3</w:t>
      </w:r>
      <w:r>
        <w:rPr>
          <w:rFonts w:hint="eastAsia"/>
        </w:rPr>
        <w:t>]</w:t>
      </w:r>
    </w:p>
    <w:p w14:paraId="50099F37">
      <w:pPr>
        <w:pStyle w:val="223"/>
        <w:ind w:left="420" w:hanging="420" w:hangingChars="200"/>
        <w:rPr>
          <w:rFonts w:ascii="Times New Roman" w:eastAsia="黑体"/>
        </w:rPr>
      </w:pPr>
      <w:r>
        <w:rPr>
          <w:rFonts w:ascii="黑体" w:hAnsi="黑体" w:eastAsia="黑体"/>
        </w:rPr>
        <w:br w:type="textWrapping"/>
      </w:r>
      <w:r>
        <w:rPr>
          <w:rFonts w:hint="eastAsia" w:ascii="黑体" w:hAnsi="黑体" w:eastAsia="黑体"/>
        </w:rPr>
        <w:t>生命周期影响评价</w:t>
      </w:r>
      <w:r>
        <w:rPr>
          <w:rFonts w:ascii="Times New Roman" w:eastAsia="黑体"/>
        </w:rPr>
        <w:t xml:space="preserve">  </w:t>
      </w:r>
      <w:r>
        <w:rPr>
          <w:rFonts w:hint="eastAsia" w:ascii="Times New Roman" w:eastAsia="黑体"/>
        </w:rPr>
        <w:t>life cycle impact assessment</w:t>
      </w:r>
      <w:r>
        <w:rPr>
          <w:rFonts w:hint="eastAsia" w:ascii="黑体" w:hAnsi="黑体" w:eastAsia="黑体"/>
        </w:rPr>
        <w:t>，</w:t>
      </w:r>
      <w:r>
        <w:rPr>
          <w:rFonts w:hint="eastAsia" w:ascii="Times New Roman" w:eastAsia="黑体"/>
        </w:rPr>
        <w:t>LCIA</w:t>
      </w:r>
    </w:p>
    <w:p w14:paraId="0CD30C32">
      <w:pPr>
        <w:pStyle w:val="56"/>
        <w:ind w:firstLine="420"/>
        <w:rPr>
          <w:rFonts w:ascii="Helvetica" w:hAnsi="Helvetica" w:cs="Helvetica"/>
        </w:rPr>
      </w:pPr>
      <w:r>
        <w:rPr>
          <w:rFonts w:hint="eastAsia" w:cs="Helvetica"/>
        </w:rPr>
        <w:t>生命周期评价中理解和评价产品系统在产品整个生命周期中的潜在环境影响的大小和重要性的阶段。</w:t>
      </w:r>
    </w:p>
    <w:p w14:paraId="01B7B22D">
      <w:pPr>
        <w:pStyle w:val="56"/>
        <w:ind w:firstLine="420"/>
        <w:rPr>
          <w:rFonts w:ascii="Helvetica" w:hAnsi="Helvetica" w:cs="Helvetica"/>
        </w:rPr>
      </w:pPr>
      <w:r>
        <w:rPr>
          <w:rFonts w:hint="eastAsia"/>
        </w:rPr>
        <w:t>[来源：</w:t>
      </w:r>
      <w:r>
        <w:rPr>
          <w:rFonts w:hint="eastAsia" w:ascii="Helvetica" w:hAnsi="Helvetica" w:cs="Helvetica"/>
        </w:rPr>
        <w:t>GB/T 24044-2008</w:t>
      </w:r>
      <w:r>
        <w:rPr>
          <w:rFonts w:hint="eastAsia" w:cs="Helvetica"/>
        </w:rPr>
        <w:t>，定义</w:t>
      </w:r>
      <w:r>
        <w:rPr>
          <w:rFonts w:hint="eastAsia" w:ascii="Helvetica" w:hAnsi="Helvetica" w:cs="Helvetica"/>
        </w:rPr>
        <w:t>3.4</w:t>
      </w:r>
      <w:r>
        <w:rPr>
          <w:rFonts w:hint="eastAsia"/>
        </w:rPr>
        <w:t>]</w:t>
      </w:r>
      <w:r>
        <w:rPr>
          <w:rFonts w:hint="eastAsia" w:ascii="Helvetica" w:hAnsi="Helvetica" w:cs="Helvetica"/>
        </w:rPr>
        <w:t xml:space="preserve"> </w:t>
      </w:r>
    </w:p>
    <w:p w14:paraId="640131F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生命周期解释</w:t>
      </w:r>
      <w:r>
        <w:rPr>
          <w:rFonts w:ascii="黑体" w:hAnsi="黑体" w:eastAsia="黑体"/>
        </w:rPr>
        <w:t xml:space="preserve">  </w:t>
      </w:r>
      <w:r>
        <w:rPr>
          <w:rFonts w:hint="eastAsia" w:ascii="黑体" w:hAnsi="黑体" w:eastAsia="黑体"/>
        </w:rPr>
        <w:t>life cycle interpretation</w:t>
      </w:r>
    </w:p>
    <w:p w14:paraId="01948AB6">
      <w:pPr>
        <w:pStyle w:val="56"/>
        <w:ind w:firstLine="420"/>
        <w:rPr>
          <w:rFonts w:ascii="Helvetica" w:hAnsi="Helvetica" w:cs="Helvetica"/>
        </w:rPr>
      </w:pPr>
      <w:r>
        <w:rPr>
          <w:rFonts w:hint="eastAsia" w:cs="Helvetica"/>
        </w:rPr>
        <w:t>生命周期评价中根据规定的目的和范围要求对清单分析和</w:t>
      </w:r>
      <w:r>
        <w:rPr>
          <w:rFonts w:hint="eastAsia" w:ascii="Helvetica" w:hAnsi="Helvetica" w:cs="Helvetica"/>
        </w:rPr>
        <w:t>(</w:t>
      </w:r>
      <w:r>
        <w:rPr>
          <w:rFonts w:hint="eastAsia" w:cs="Helvetica"/>
        </w:rPr>
        <w:t>或</w:t>
      </w:r>
      <w:r>
        <w:rPr>
          <w:rFonts w:hint="eastAsia" w:ascii="Helvetica" w:hAnsi="Helvetica" w:cs="Helvetica"/>
        </w:rPr>
        <w:t>)</w:t>
      </w:r>
      <w:r>
        <w:rPr>
          <w:rFonts w:hint="eastAsia" w:cs="Helvetica"/>
        </w:rPr>
        <w:t>影响评价的结果进行评估以形成结论和建议的阶段。</w:t>
      </w:r>
    </w:p>
    <w:p w14:paraId="61DEF475">
      <w:pPr>
        <w:pStyle w:val="56"/>
        <w:ind w:firstLine="420"/>
        <w:rPr>
          <w:rFonts w:ascii="Helvetica" w:hAnsi="Helvetica" w:cs="Helvetica"/>
        </w:rPr>
      </w:pPr>
      <w:r>
        <w:rPr>
          <w:rFonts w:hint="eastAsia"/>
        </w:rPr>
        <w:t>[来源：</w:t>
      </w:r>
      <w:r>
        <w:rPr>
          <w:rFonts w:hint="eastAsia" w:ascii="Helvetica" w:hAnsi="Helvetica" w:cs="Helvetica"/>
        </w:rPr>
        <w:t>GB/T 24044-2008</w:t>
      </w:r>
      <w:r>
        <w:rPr>
          <w:rFonts w:hint="eastAsia" w:cs="Helvetica"/>
        </w:rPr>
        <w:t>，定义</w:t>
      </w:r>
      <w:r>
        <w:rPr>
          <w:rFonts w:hint="eastAsia" w:ascii="Helvetica" w:hAnsi="Helvetica" w:cs="Helvetica"/>
        </w:rPr>
        <w:t>3.5</w:t>
      </w:r>
      <w:r>
        <w:rPr>
          <w:rFonts w:hint="eastAsia"/>
        </w:rPr>
        <w:t>]</w:t>
      </w:r>
    </w:p>
    <w:p w14:paraId="2CA0F5BC">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过程排放</w:t>
      </w:r>
      <w:r>
        <w:rPr>
          <w:rFonts w:ascii="黑体" w:hAnsi="黑体" w:eastAsia="黑体"/>
        </w:rPr>
        <w:t xml:space="preserve">  </w:t>
      </w:r>
      <w:r>
        <w:rPr>
          <w:rFonts w:hint="eastAsia" w:ascii="黑体" w:hAnsi="黑体" w:eastAsia="黑体"/>
        </w:rPr>
        <w:t xml:space="preserve">process emission </w:t>
      </w:r>
    </w:p>
    <w:p w14:paraId="4BE1F3CA">
      <w:pPr>
        <w:pStyle w:val="56"/>
        <w:ind w:firstLine="420"/>
        <w:rPr>
          <w:rFonts w:ascii="Helvetica" w:hAnsi="Helvetica" w:cs="Helvetica"/>
        </w:rPr>
      </w:pPr>
      <w:r>
        <w:rPr>
          <w:rFonts w:hint="eastAsia" w:cs="Helvetica"/>
        </w:rPr>
        <w:t>在生产、废弃物处理处置等过程中除燃料燃烧之外的物理或化学变化造成的温室气体排放。</w:t>
      </w:r>
      <w:r>
        <w:rPr>
          <w:rFonts w:hint="eastAsia" w:ascii="Helvetica" w:hAnsi="Helvetica" w:cs="Helvetica"/>
        </w:rPr>
        <w:t xml:space="preserve"> </w:t>
      </w:r>
    </w:p>
    <w:p w14:paraId="14616F15">
      <w:pPr>
        <w:pStyle w:val="56"/>
        <w:ind w:firstLine="420"/>
        <w:rPr>
          <w:rFonts w:ascii="Helvetica" w:hAnsi="Helvetica" w:cs="Helvetica"/>
        </w:rPr>
      </w:pPr>
      <w:r>
        <w:rPr>
          <w:rFonts w:hint="eastAsia"/>
        </w:rPr>
        <w:t>[来源：</w:t>
      </w:r>
      <w:r>
        <w:rPr>
          <w:rFonts w:hint="eastAsia" w:ascii="Helvetica" w:hAnsi="Helvetica" w:cs="Helvetica"/>
        </w:rPr>
        <w:t xml:space="preserve">GB/T 32150-2015, </w:t>
      </w:r>
      <w:r>
        <w:rPr>
          <w:rFonts w:hint="eastAsia" w:cs="Helvetica"/>
        </w:rPr>
        <w:t>定义</w:t>
      </w:r>
      <w:r>
        <w:rPr>
          <w:rFonts w:hint="eastAsia" w:ascii="Helvetica" w:hAnsi="Helvetica" w:cs="Helvetica"/>
        </w:rPr>
        <w:t>3.8</w:t>
      </w:r>
      <w:r>
        <w:rPr>
          <w:rFonts w:hint="eastAsia"/>
        </w:rPr>
        <w:t>]</w:t>
      </w:r>
    </w:p>
    <w:p w14:paraId="28C66962">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系统边界</w:t>
      </w:r>
      <w:r>
        <w:rPr>
          <w:rFonts w:ascii="黑体" w:hAnsi="黑体" w:eastAsia="黑体"/>
        </w:rPr>
        <w:t xml:space="preserve">  </w:t>
      </w:r>
      <w:r>
        <w:rPr>
          <w:rFonts w:hint="eastAsia" w:ascii="黑体" w:hAnsi="黑体" w:eastAsia="黑体"/>
        </w:rPr>
        <w:t>system boundary</w:t>
      </w:r>
    </w:p>
    <w:p w14:paraId="1943165F">
      <w:pPr>
        <w:pStyle w:val="56"/>
        <w:ind w:firstLine="420"/>
        <w:rPr>
          <w:rFonts w:ascii="Helvetica" w:hAnsi="Helvetica" w:cs="Helvetica"/>
        </w:rPr>
      </w:pPr>
      <w:r>
        <w:rPr>
          <w:rFonts w:hint="eastAsia" w:cs="Helvetica"/>
        </w:rPr>
        <w:t>通过一组准则确定哪些单元过程属于产品系统的一部分。</w:t>
      </w:r>
    </w:p>
    <w:p w14:paraId="692D6B83">
      <w:pPr>
        <w:pStyle w:val="56"/>
        <w:ind w:firstLine="420"/>
        <w:rPr>
          <w:rFonts w:ascii="Helvetica" w:hAnsi="Helvetica" w:cs="Helvetica"/>
        </w:rPr>
      </w:pPr>
      <w:r>
        <w:rPr>
          <w:rFonts w:hint="eastAsia"/>
        </w:rPr>
        <w:t>[来源：</w:t>
      </w:r>
      <w:r>
        <w:rPr>
          <w:rFonts w:hint="eastAsia" w:ascii="Helvetica" w:hAnsi="Helvetica" w:cs="Helvetica"/>
        </w:rPr>
        <w:t>GB/T 24067-2024</w:t>
      </w:r>
      <w:r>
        <w:rPr>
          <w:rFonts w:hint="eastAsia" w:cs="Helvetica"/>
        </w:rPr>
        <w:t>，定义</w:t>
      </w:r>
      <w:r>
        <w:rPr>
          <w:rFonts w:hint="eastAsia" w:ascii="Helvetica" w:hAnsi="Helvetica" w:cs="Helvetica"/>
        </w:rPr>
        <w:t>3.3.4</w:t>
      </w:r>
      <w:r>
        <w:rPr>
          <w:rFonts w:hint="eastAsia"/>
        </w:rPr>
        <w:t>]</w:t>
      </w:r>
    </w:p>
    <w:p w14:paraId="6BCD044A">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单元过程</w:t>
      </w:r>
      <w:r>
        <w:rPr>
          <w:rFonts w:ascii="黑体" w:hAnsi="黑体" w:eastAsia="黑体"/>
        </w:rPr>
        <w:t xml:space="preserve">  </w:t>
      </w:r>
      <w:r>
        <w:rPr>
          <w:rFonts w:hint="eastAsia" w:ascii="黑体" w:hAnsi="黑体" w:eastAsia="黑体"/>
        </w:rPr>
        <w:t>unit process</w:t>
      </w:r>
    </w:p>
    <w:p w14:paraId="4E4F5EB7">
      <w:pPr>
        <w:pStyle w:val="56"/>
        <w:ind w:firstLine="420"/>
        <w:rPr>
          <w:rFonts w:ascii="Helvetica" w:hAnsi="Helvetica" w:cs="Helvetica"/>
        </w:rPr>
      </w:pPr>
      <w:r>
        <w:rPr>
          <w:rFonts w:hint="eastAsia" w:cs="Helvetica"/>
        </w:rPr>
        <w:t>进行生命周期清单分析时为量化输人和输出数据而确定的最基本部分。</w:t>
      </w:r>
    </w:p>
    <w:p w14:paraId="22721042">
      <w:pPr>
        <w:pStyle w:val="56"/>
        <w:ind w:firstLine="420"/>
        <w:rPr>
          <w:rFonts w:ascii="Helvetica" w:hAnsi="Helvetica" w:cs="Helvetica"/>
        </w:rPr>
      </w:pPr>
      <w:r>
        <w:rPr>
          <w:rFonts w:hint="eastAsia"/>
        </w:rPr>
        <w:t>[来源：</w:t>
      </w:r>
      <w:r>
        <w:rPr>
          <w:rFonts w:hint="eastAsia" w:ascii="Helvetica" w:hAnsi="Helvetica" w:cs="Helvetica"/>
        </w:rPr>
        <w:t>GB/T 24044-2008</w:t>
      </w:r>
      <w:r>
        <w:rPr>
          <w:rFonts w:hint="eastAsia" w:cs="Helvetica"/>
        </w:rPr>
        <w:t>，定义</w:t>
      </w:r>
      <w:r>
        <w:rPr>
          <w:rFonts w:hint="eastAsia" w:ascii="Helvetica" w:hAnsi="Helvetica" w:cs="Helvetica"/>
        </w:rPr>
        <w:t>3.34</w:t>
      </w:r>
      <w:r>
        <w:rPr>
          <w:rFonts w:hint="eastAsia"/>
        </w:rPr>
        <w:t>]</w:t>
      </w:r>
    </w:p>
    <w:p w14:paraId="28BD30BC">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功能单位</w:t>
      </w:r>
      <w:r>
        <w:rPr>
          <w:rFonts w:ascii="黑体" w:hAnsi="黑体" w:eastAsia="黑体"/>
        </w:rPr>
        <w:t xml:space="preserve">  </w:t>
      </w:r>
      <w:r>
        <w:rPr>
          <w:rFonts w:hint="eastAsia" w:ascii="黑体" w:hAnsi="黑体" w:eastAsia="黑体"/>
        </w:rPr>
        <w:t>functional unit</w:t>
      </w:r>
    </w:p>
    <w:p w14:paraId="34EBFF86">
      <w:pPr>
        <w:pStyle w:val="56"/>
        <w:ind w:firstLine="420"/>
        <w:rPr>
          <w:rFonts w:ascii="Helvetica" w:hAnsi="Helvetica" w:cs="Helvetica"/>
        </w:rPr>
      </w:pPr>
      <w:r>
        <w:rPr>
          <w:rFonts w:hint="eastAsia" w:cs="Helvetica"/>
        </w:rPr>
        <w:t>用来量化产品系统功能的基准单位。</w:t>
      </w:r>
    </w:p>
    <w:p w14:paraId="07D41EDB">
      <w:pPr>
        <w:pStyle w:val="56"/>
        <w:ind w:firstLine="420"/>
        <w:rPr>
          <w:rFonts w:ascii="Helvetica" w:hAnsi="Helvetica" w:cs="Helvetica"/>
        </w:rPr>
      </w:pPr>
      <w:r>
        <w:rPr>
          <w:rFonts w:hint="eastAsia"/>
        </w:rPr>
        <w:t>[来源：GB/T 24040-2008，定义3.20]</w:t>
      </w:r>
    </w:p>
    <w:p w14:paraId="69D439D3">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声明单位</w:t>
      </w:r>
      <w:r>
        <w:rPr>
          <w:rFonts w:ascii="黑体" w:hAnsi="黑体" w:eastAsia="黑体"/>
        </w:rPr>
        <w:t xml:space="preserve">  </w:t>
      </w:r>
      <w:r>
        <w:rPr>
          <w:rFonts w:hint="eastAsia" w:ascii="黑体" w:hAnsi="黑体" w:eastAsia="黑体"/>
        </w:rPr>
        <w:t xml:space="preserve">declared unit </w:t>
      </w:r>
    </w:p>
    <w:p w14:paraId="7DF2F789">
      <w:pPr>
        <w:pStyle w:val="56"/>
        <w:ind w:firstLine="420"/>
        <w:rPr>
          <w:rFonts w:ascii="Helvetica" w:hAnsi="Helvetica" w:cs="Helvetica"/>
        </w:rPr>
      </w:pPr>
      <w:r>
        <w:rPr>
          <w:rFonts w:hint="eastAsia" w:cs="Helvetica"/>
        </w:rPr>
        <w:t>用来作为具体功能不确定的产品的碳足迹量化基准。</w:t>
      </w:r>
      <w:r>
        <w:rPr>
          <w:rFonts w:hint="eastAsia" w:ascii="Helvetica" w:hAnsi="Helvetica" w:cs="Helvetica"/>
        </w:rPr>
        <w:t xml:space="preserve"> </w:t>
      </w:r>
      <w:r>
        <w:rPr>
          <w:rFonts w:hint="eastAsia" w:cs="Helvetica"/>
        </w:rPr>
        <w:t>示例：质量（</w:t>
      </w:r>
      <w:r>
        <w:rPr>
          <w:rFonts w:hint="eastAsia" w:ascii="Helvetica" w:hAnsi="Helvetica" w:cs="Helvetica"/>
        </w:rPr>
        <w:t>1</w:t>
      </w:r>
      <w:r>
        <w:rPr>
          <w:rFonts w:hint="eastAsia" w:cs="Helvetica"/>
        </w:rPr>
        <w:t>公斤粗钢）、体积（</w:t>
      </w:r>
      <w:r>
        <w:rPr>
          <w:rFonts w:hint="eastAsia" w:ascii="Helvetica" w:hAnsi="Helvetica" w:cs="Helvetica"/>
        </w:rPr>
        <w:t>1</w:t>
      </w:r>
      <w:r>
        <w:rPr>
          <w:rFonts w:hint="eastAsia" w:cs="Helvetica"/>
        </w:rPr>
        <w:t xml:space="preserve">升原油）。 </w:t>
      </w:r>
    </w:p>
    <w:p w14:paraId="32258E0F">
      <w:pPr>
        <w:pStyle w:val="56"/>
        <w:ind w:firstLine="420"/>
        <w:rPr>
          <w:rFonts w:ascii="Helvetica" w:hAnsi="Helvetica" w:cs="Helvetica"/>
        </w:rPr>
      </w:pPr>
      <w:r>
        <w:rPr>
          <w:rFonts w:hint="eastAsia"/>
        </w:rPr>
        <w:t>[来源：</w:t>
      </w:r>
      <w:r>
        <w:rPr>
          <w:rFonts w:hint="eastAsia" w:ascii="Helvetica" w:hAnsi="Helvetica" w:cs="Helvetica"/>
        </w:rPr>
        <w:t>GB/T 24067</w:t>
      </w:r>
      <w:r>
        <w:rPr>
          <w:rFonts w:hint="eastAsia"/>
        </w:rPr>
        <w:t>]</w:t>
      </w:r>
    </w:p>
    <w:p w14:paraId="4FEE7359">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活动数据</w:t>
      </w:r>
      <w:r>
        <w:rPr>
          <w:rFonts w:ascii="黑体" w:hAnsi="黑体" w:eastAsia="黑体"/>
        </w:rPr>
        <w:t xml:space="preserve">  </w:t>
      </w:r>
      <w:r>
        <w:rPr>
          <w:rFonts w:hint="eastAsia" w:ascii="黑体" w:hAnsi="黑体" w:eastAsia="黑体"/>
        </w:rPr>
        <w:t>activity data</w:t>
      </w:r>
    </w:p>
    <w:p w14:paraId="0410C4BF">
      <w:pPr>
        <w:pStyle w:val="56"/>
        <w:ind w:firstLine="420"/>
        <w:rPr>
          <w:rFonts w:ascii="Helvetica" w:hAnsi="Helvetica" w:cs="Helvetica"/>
        </w:rPr>
      </w:pPr>
      <w:r>
        <w:rPr>
          <w:rFonts w:hint="eastAsia" w:cs="Helvetica"/>
        </w:rPr>
        <w:t>导致温室气体排放的生产或消费活动量的表征值。</w:t>
      </w:r>
    </w:p>
    <w:p w14:paraId="0E044499">
      <w:pPr>
        <w:pStyle w:val="56"/>
        <w:ind w:firstLine="420"/>
        <w:rPr>
          <w:rFonts w:ascii="Helvetica" w:hAnsi="Helvetica" w:cs="Helvetica"/>
        </w:rPr>
      </w:pPr>
      <w:r>
        <w:rPr>
          <w:rFonts w:hint="eastAsia"/>
        </w:rPr>
        <w:t>[来源：</w:t>
      </w:r>
      <w:r>
        <w:rPr>
          <w:rFonts w:hint="eastAsia" w:ascii="Helvetica" w:hAnsi="Helvetica" w:cs="Helvetica"/>
        </w:rPr>
        <w:t>GB/T 32150-2015</w:t>
      </w:r>
      <w:r>
        <w:rPr>
          <w:rFonts w:hint="eastAsia" w:cs="Helvetica"/>
        </w:rPr>
        <w:t>，定义</w:t>
      </w:r>
      <w:r>
        <w:rPr>
          <w:rFonts w:hint="eastAsia" w:ascii="Helvetica" w:hAnsi="Helvetica" w:cs="Helvetica"/>
        </w:rPr>
        <w:t>3.12</w:t>
      </w:r>
      <w:r>
        <w:rPr>
          <w:rFonts w:hint="eastAsia"/>
        </w:rPr>
        <w:t>]</w:t>
      </w:r>
    </w:p>
    <w:p w14:paraId="0FA44DEA">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取舍准则</w:t>
      </w:r>
      <w:r>
        <w:rPr>
          <w:rFonts w:ascii="黑体" w:hAnsi="黑体" w:eastAsia="黑体"/>
        </w:rPr>
        <w:t xml:space="preserve">  </w:t>
      </w:r>
      <w:r>
        <w:rPr>
          <w:rFonts w:hint="eastAsia" w:ascii="黑体" w:hAnsi="黑体" w:eastAsia="黑体"/>
        </w:rPr>
        <w:t>cut-off criteria</w:t>
      </w:r>
    </w:p>
    <w:p w14:paraId="18B80D96">
      <w:pPr>
        <w:pStyle w:val="56"/>
        <w:ind w:firstLine="420"/>
        <w:rPr>
          <w:rFonts w:ascii="Helvetica" w:hAnsi="Helvetica" w:cs="Helvetica"/>
        </w:rPr>
      </w:pPr>
      <w:r>
        <w:rPr>
          <w:rFonts w:hint="eastAsia" w:cs="Helvetica"/>
        </w:rPr>
        <w:t>对与单元过程或产品系统相关的物质和能量流的数据或环境影响重要性程度是否被排除在研究范围之外所作的规定。</w:t>
      </w:r>
    </w:p>
    <w:p w14:paraId="10A47495">
      <w:pPr>
        <w:pStyle w:val="56"/>
        <w:ind w:firstLine="420"/>
        <w:rPr>
          <w:rFonts w:ascii="Helvetica" w:hAnsi="Helvetica" w:cs="Helvetica"/>
        </w:rPr>
      </w:pPr>
      <w:r>
        <w:rPr>
          <w:rFonts w:hint="eastAsia"/>
        </w:rPr>
        <w:t>[来源：GB/T 24040-2008，定义3.18]</w:t>
      </w:r>
    </w:p>
    <w:p w14:paraId="2FE4AC57">
      <w:pPr>
        <w:pStyle w:val="104"/>
        <w:spacing w:before="240" w:after="240"/>
      </w:pPr>
      <w:r>
        <w:rPr>
          <w:rFonts w:hint="eastAsia"/>
        </w:rPr>
        <w:t>核算原则</w:t>
      </w:r>
    </w:p>
    <w:p w14:paraId="03C1B0CD">
      <w:pPr>
        <w:pStyle w:val="105"/>
        <w:spacing w:before="120" w:after="120"/>
      </w:pPr>
      <w:r>
        <w:rPr>
          <w:rFonts w:hint="eastAsia"/>
        </w:rPr>
        <w:t>相关性</w:t>
      </w:r>
    </w:p>
    <w:p w14:paraId="537CF30C">
      <w:pPr>
        <w:pStyle w:val="56"/>
        <w:ind w:firstLine="420"/>
      </w:pPr>
      <w:r>
        <w:rPr>
          <w:rFonts w:hint="eastAsia"/>
        </w:rPr>
        <w:t>确保核算能够恰当地反映产品对温室气体的影响，并满足用户决策的需要。</w:t>
      </w:r>
    </w:p>
    <w:p w14:paraId="68C78A5A">
      <w:pPr>
        <w:pStyle w:val="105"/>
        <w:spacing w:before="120" w:after="120"/>
      </w:pPr>
      <w:r>
        <w:rPr>
          <w:rFonts w:hint="eastAsia"/>
        </w:rPr>
        <w:t>完整性</w:t>
      </w:r>
    </w:p>
    <w:p w14:paraId="3C8B69CB">
      <w:pPr>
        <w:pStyle w:val="56"/>
        <w:ind w:firstLine="420"/>
      </w:pPr>
      <w:r>
        <w:rPr>
          <w:rFonts w:hint="eastAsia"/>
        </w:rPr>
        <w:t>核算应包含系统边界内所有对产品碳足迹有实质性贡献的排放源和清除库。</w:t>
      </w:r>
    </w:p>
    <w:p w14:paraId="01E756BE">
      <w:pPr>
        <w:pStyle w:val="105"/>
        <w:spacing w:before="120" w:after="120"/>
      </w:pPr>
      <w:r>
        <w:rPr>
          <w:rFonts w:hint="eastAsia"/>
        </w:rPr>
        <w:t>一致性</w:t>
      </w:r>
    </w:p>
    <w:p w14:paraId="795E9DAA">
      <w:pPr>
        <w:pStyle w:val="56"/>
        <w:ind w:firstLine="420"/>
      </w:pPr>
      <w:r>
        <w:rPr>
          <w:rFonts w:hint="eastAsia"/>
        </w:rPr>
        <w:t>采用统一的方法学，使不同时期或不同产品间的碳足迹结果具有可比性。</w:t>
      </w:r>
    </w:p>
    <w:p w14:paraId="4F7C869C">
      <w:pPr>
        <w:pStyle w:val="105"/>
        <w:spacing w:before="120" w:after="120"/>
      </w:pPr>
      <w:r>
        <w:rPr>
          <w:rFonts w:hint="eastAsia"/>
        </w:rPr>
        <w:t>准确性</w:t>
      </w:r>
    </w:p>
    <w:p w14:paraId="1070A45F">
      <w:pPr>
        <w:pStyle w:val="56"/>
        <w:ind w:firstLine="420"/>
      </w:pPr>
      <w:r>
        <w:rPr>
          <w:rFonts w:hint="eastAsia"/>
        </w:rPr>
        <w:t>尽可能减少偏差和不确定性。</w:t>
      </w:r>
    </w:p>
    <w:p w14:paraId="633C4831">
      <w:pPr>
        <w:pStyle w:val="105"/>
        <w:spacing w:before="120" w:after="120"/>
      </w:pPr>
      <w:r>
        <w:rPr>
          <w:rFonts w:hint="eastAsia"/>
        </w:rPr>
        <w:t>透明度</w:t>
      </w:r>
    </w:p>
    <w:p w14:paraId="40B9F96E">
      <w:pPr>
        <w:pStyle w:val="56"/>
        <w:ind w:firstLine="420"/>
      </w:pPr>
      <w:r>
        <w:rPr>
          <w:rFonts w:hint="eastAsia"/>
        </w:rPr>
        <w:t>清晰、真实地披露核算过程中的假设、方法、数据来源和局限性。</w:t>
      </w:r>
    </w:p>
    <w:p w14:paraId="3464EBD8">
      <w:pPr>
        <w:pStyle w:val="104"/>
        <w:spacing w:before="240" w:after="240"/>
      </w:pPr>
      <w:r>
        <w:rPr>
          <w:rFonts w:hint="eastAsia"/>
        </w:rPr>
        <w:t>量化目的和范围边界</w:t>
      </w:r>
    </w:p>
    <w:p w14:paraId="5F62F29E">
      <w:pPr>
        <w:pStyle w:val="105"/>
        <w:spacing w:before="120" w:after="120"/>
      </w:pPr>
      <w:r>
        <w:rPr>
          <w:rFonts w:hint="eastAsia"/>
        </w:rPr>
        <w:t>量化目的</w:t>
      </w:r>
    </w:p>
    <w:p w14:paraId="03366F56">
      <w:pPr>
        <w:pStyle w:val="56"/>
        <w:ind w:firstLine="420"/>
      </w:pPr>
      <w:r>
        <w:rPr>
          <w:rFonts w:hint="eastAsia"/>
        </w:rPr>
        <w:t>进行产品碳足迹量化的主要目的是，根据取舍准则，通过量化产品生命周期或选定过程中的所有重要温室气体排放量和清除量，计算产品对全球变暖的潜在影响，以及在不同阶段、不 同过程、不同空间位置的影响构成（以二氧化碳当量表示）。</w:t>
      </w:r>
    </w:p>
    <w:p w14:paraId="4FF8F7A7">
      <w:pPr>
        <w:pStyle w:val="56"/>
        <w:ind w:firstLine="420"/>
      </w:pPr>
      <w:r>
        <w:rPr>
          <w:rFonts w:hint="eastAsia"/>
        </w:rPr>
        <w:t>在确定产品碳足迹核算的目的时，应明确说明以下事项：</w:t>
      </w:r>
    </w:p>
    <w:p w14:paraId="23CFA455">
      <w:pPr>
        <w:pStyle w:val="132"/>
      </w:pPr>
      <w:r>
        <w:rPr>
          <w:rFonts w:hint="eastAsia"/>
        </w:rPr>
        <w:t>预期应用；</w:t>
      </w:r>
    </w:p>
    <w:p w14:paraId="1EAE707D">
      <w:pPr>
        <w:pStyle w:val="132"/>
      </w:pPr>
      <w:r>
        <w:rPr>
          <w:rFonts w:hint="eastAsia"/>
        </w:rPr>
        <w:t>开展产品碳足迹量化的原因；</w:t>
      </w:r>
    </w:p>
    <w:p w14:paraId="2FCEC495">
      <w:pPr>
        <w:pStyle w:val="132"/>
      </w:pPr>
      <w:r>
        <w:rPr>
          <w:rFonts w:hint="eastAsia"/>
        </w:rPr>
        <w:t>目标受众（即研究结果的接收者）。</w:t>
      </w:r>
    </w:p>
    <w:p w14:paraId="36E5588D">
      <w:pPr>
        <w:pStyle w:val="105"/>
        <w:spacing w:before="120" w:after="120"/>
      </w:pPr>
      <w:r>
        <w:rPr>
          <w:rFonts w:hint="eastAsia"/>
        </w:rPr>
        <w:t>产品定义</w:t>
      </w:r>
    </w:p>
    <w:p w14:paraId="3AA22EED">
      <w:pPr>
        <w:pStyle w:val="56"/>
        <w:ind w:firstLine="420"/>
      </w:pPr>
      <w:r>
        <w:rPr>
          <w:rFonts w:hint="eastAsia"/>
        </w:rPr>
        <w:t>应明确定义核算的互感器产品，包括产品型号、规格（如额定电压、电流、准确级）、主要技术参数。</w:t>
      </w:r>
    </w:p>
    <w:p w14:paraId="533CECA8">
      <w:pPr>
        <w:pStyle w:val="105"/>
        <w:spacing w:before="120" w:after="120"/>
      </w:pPr>
      <w:r>
        <w:rPr>
          <w:rFonts w:hint="eastAsia"/>
        </w:rPr>
        <w:t>功能单位或声明单位</w:t>
      </w:r>
    </w:p>
    <w:p w14:paraId="5E84A5FC">
      <w:pPr>
        <w:pStyle w:val="56"/>
        <w:ind w:firstLine="420"/>
      </w:pPr>
      <w:r>
        <w:rPr>
          <w:rFonts w:hint="eastAsia"/>
        </w:rPr>
        <w:t>一台互感器产品在其典型运行寿命期间，为电力系统提供额定容量 1 kVA 的电能测量与传输服务，生命周期运行周期按 1 年 计。</w:t>
      </w:r>
    </w:p>
    <w:p w14:paraId="31F4CA7B">
      <w:pPr>
        <w:pStyle w:val="105"/>
        <w:spacing w:before="120" w:after="120"/>
      </w:pPr>
      <w:r>
        <w:rPr>
          <w:rFonts w:hint="eastAsia"/>
        </w:rPr>
        <w:t>系统边界</w:t>
      </w:r>
    </w:p>
    <w:p w14:paraId="5AB550F2">
      <w:pPr>
        <w:pStyle w:val="56"/>
        <w:ind w:firstLine="420"/>
      </w:pPr>
      <w:r>
        <w:rPr>
          <w:rFonts w:hint="eastAsia"/>
        </w:rPr>
        <w:t>本标准建议采用“从摇篮到大门”的生命周期阶段作为默认核算边界，并鼓励企业逐步向“从摇篮到坟墓”扩展。</w:t>
      </w:r>
    </w:p>
    <w:p w14:paraId="1789E2FE">
      <w:pPr>
        <w:pStyle w:val="56"/>
        <w:ind w:firstLine="420"/>
      </w:pPr>
      <w:r>
        <w:rPr>
          <w:rFonts w:hint="eastAsia"/>
        </w:rPr>
        <w:t>默认边界（从摇篮到大门）：包括原材料获取、生产制造（仅限于生产性能耗，见6.1.2）、内部运输及产品出厂前的仓储。</w:t>
      </w:r>
    </w:p>
    <w:p w14:paraId="76FB6CDD">
      <w:pPr>
        <w:pStyle w:val="56"/>
        <w:ind w:firstLine="420"/>
      </w:pPr>
      <w:r>
        <w:rPr>
          <w:rFonts w:hint="eastAsia"/>
        </w:rPr>
        <w:t>扩展边界（可选）：在默认边界基础上，可增加运输配送、使用阶段和生命末期处理阶段。</w:t>
      </w:r>
    </w:p>
    <w:p w14:paraId="0C0DCA90">
      <w:pPr>
        <w:pStyle w:val="56"/>
        <w:ind w:firstLine="420"/>
      </w:pPr>
      <w:r>
        <w:rPr>
          <w:rFonts w:hint="eastAsia"/>
        </w:rPr>
        <w:t>系统边界示意见图1。</w:t>
      </w:r>
    </w:p>
    <w:p w14:paraId="60C0C35B">
      <w:pPr>
        <w:pStyle w:val="105"/>
        <w:spacing w:before="120" w:after="120"/>
      </w:pPr>
      <w:r>
        <w:rPr>
          <w:rFonts w:hint="eastAsia"/>
        </w:rPr>
        <w:t>取舍原则</w:t>
      </w:r>
    </w:p>
    <w:p w14:paraId="67F9E111">
      <w:pPr>
        <w:pStyle w:val="56"/>
        <w:ind w:firstLine="420"/>
      </w:pPr>
      <w:r>
        <w:rPr>
          <w:rFonts w:hint="eastAsia"/>
        </w:rPr>
        <w:t>核算应涵盖所有对碳足迹结果有实质性贡献的输入和输出流。通常，当某一单元的贡献低于产品总碳足迹预估值的1%时，可予以排除，但所有排除单元的累计贡献不应超过5%。对于互感器产品，硅钢片、铜材、环氧树脂等主要原材料以及生产过程中的电力消耗不应被排除。</w:t>
      </w:r>
    </w:p>
    <w:p w14:paraId="06BBB5AF">
      <w:pPr>
        <w:pStyle w:val="105"/>
        <w:spacing w:before="120" w:after="120"/>
      </w:pPr>
      <w:r>
        <w:rPr>
          <w:rFonts w:hint="eastAsia"/>
        </w:rPr>
        <w:t>时间边界</w:t>
      </w:r>
    </w:p>
    <w:p w14:paraId="5A1D8781">
      <w:pPr>
        <w:pStyle w:val="56"/>
        <w:ind w:firstLine="420"/>
      </w:pPr>
      <w:r>
        <w:rPr>
          <w:rFonts w:hint="eastAsia"/>
        </w:rPr>
        <w:t>核算所依据的活动数据应具有代表性，优先采用核算年份或前一年的数据。排放因子应优先采用与核算时间边界相匹配的最新数据。</w:t>
      </w:r>
    </w:p>
    <w:p w14:paraId="6CCEC9FB">
      <w:pPr>
        <w:pStyle w:val="105"/>
        <w:spacing w:before="120" w:after="120"/>
      </w:pPr>
      <w:r>
        <w:rPr>
          <w:rFonts w:hint="eastAsia"/>
        </w:rPr>
        <w:t>地理边界</w:t>
      </w:r>
    </w:p>
    <w:p w14:paraId="39BB4B4F">
      <w:pPr>
        <w:pStyle w:val="56"/>
        <w:ind w:firstLine="420"/>
      </w:pPr>
      <w:r>
        <w:rPr>
          <w:rFonts w:hint="eastAsia"/>
        </w:rPr>
        <w:t>数据应优先选择能代表供应链和生产地地理区域的数据。如使用进口原材料，应优先采用原产国的排放因子。若无法获取原产国排放因子，可采用原产国所在区域数据库中排放因子进行替代。</w:t>
      </w:r>
    </w:p>
    <w:p w14:paraId="02626729">
      <w:pPr>
        <w:pStyle w:val="56"/>
        <w:ind w:firstLine="0" w:firstLineChars="0"/>
        <w:jc w:val="center"/>
      </w:pPr>
      <w:r>
        <w:drawing>
          <wp:inline distT="0" distB="0" distL="0" distR="0">
            <wp:extent cx="3500120" cy="3129280"/>
            <wp:effectExtent l="0" t="0" r="0" b="0"/>
            <wp:docPr id="6" name="图片 6" descr="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0" y="0"/>
                      <a:ext cx="3581832" cy="3201825"/>
                    </a:xfrm>
                    <a:prstGeom prst="rect">
                      <a:avLst/>
                    </a:prstGeom>
                  </pic:spPr>
                </pic:pic>
              </a:graphicData>
            </a:graphic>
          </wp:inline>
        </w:drawing>
      </w:r>
    </w:p>
    <w:p w14:paraId="4F8EAD6B">
      <w:pPr>
        <w:pStyle w:val="114"/>
        <w:spacing w:before="120" w:after="120"/>
      </w:pPr>
      <w:r>
        <w:rPr>
          <w:rFonts w:hint="eastAsia"/>
        </w:rPr>
        <w:t>互感器产品碳足迹核算系统边界示意图</w:t>
      </w:r>
    </w:p>
    <w:p w14:paraId="0B0ADE15">
      <w:pPr>
        <w:pStyle w:val="179"/>
      </w:pPr>
      <w:r>
        <w:rPr>
          <w:rFonts w:hint="eastAsia"/>
        </w:rPr>
        <w:t>员工通勤、道路与厂房的基础设施、投资所需物资及设备的生产、厂区内人员及生活设施的消耗和排放，均不算在产品系统边界内。</w:t>
      </w:r>
    </w:p>
    <w:p w14:paraId="6D8DAB10">
      <w:pPr>
        <w:pStyle w:val="104"/>
        <w:spacing w:before="240" w:after="240"/>
      </w:pPr>
      <w:r>
        <w:rPr>
          <w:rFonts w:hint="eastAsia"/>
        </w:rPr>
        <w:t>核算流程与方法</w:t>
      </w:r>
    </w:p>
    <w:p w14:paraId="42698C94">
      <w:pPr>
        <w:pStyle w:val="105"/>
        <w:spacing w:before="120" w:after="120"/>
      </w:pPr>
      <w:r>
        <w:rPr>
          <w:rFonts w:hint="eastAsia"/>
        </w:rPr>
        <w:t>数据收集</w:t>
      </w:r>
    </w:p>
    <w:p w14:paraId="0AC669A1">
      <w:pPr>
        <w:pStyle w:val="65"/>
        <w:spacing w:before="120" w:after="120"/>
      </w:pPr>
      <w:r>
        <w:rPr>
          <w:rFonts w:hint="eastAsia"/>
        </w:rPr>
        <w:t>原材料获取阶段</w:t>
      </w:r>
    </w:p>
    <w:p w14:paraId="2570A904">
      <w:pPr>
        <w:pStyle w:val="56"/>
        <w:ind w:firstLine="420"/>
      </w:pPr>
      <w:r>
        <w:rPr>
          <w:rFonts w:hint="eastAsia"/>
        </w:rPr>
        <w:t>原材料获取阶段指从自然界提取材料和能源并经加工，得到用于生产互感器的工业初产品，如原材料、辅料及包装材料的重量。关键物料包括：</w:t>
      </w:r>
    </w:p>
    <w:p w14:paraId="239C838D">
      <w:pPr>
        <w:pStyle w:val="132"/>
      </w:pPr>
      <w:r>
        <w:rPr>
          <w:rFonts w:hint="eastAsia"/>
        </w:rPr>
        <w:t>电磁元件：硅钢片、铜线/铝线、绝缘漆、绝缘纸、环氧树脂等；</w:t>
      </w:r>
    </w:p>
    <w:p w14:paraId="5A52DA61">
      <w:pPr>
        <w:pStyle w:val="132"/>
      </w:pPr>
      <w:r>
        <w:rPr>
          <w:rFonts w:hint="eastAsia"/>
        </w:rPr>
        <w:t>结构件：钢材（外壳、支架）、铝材（壳体）、铸铁（底座）等；</w:t>
      </w:r>
    </w:p>
    <w:p w14:paraId="3DDC46E3">
      <w:pPr>
        <w:pStyle w:val="132"/>
      </w:pPr>
      <w:r>
        <w:rPr>
          <w:rFonts w:hint="eastAsia"/>
        </w:rPr>
        <w:t>外购件：套管、接线端子、绝缘子、电子元器件（针对电子式互感器）等；</w:t>
      </w:r>
    </w:p>
    <w:p w14:paraId="07E4B2BB">
      <w:pPr>
        <w:pStyle w:val="132"/>
      </w:pPr>
      <w:r>
        <w:rPr>
          <w:rFonts w:hint="eastAsia"/>
        </w:rPr>
        <w:t>辅料与包装： 油漆、溶剂、焊接材料、木箱/纸箱/塑料薄膜等。</w:t>
      </w:r>
    </w:p>
    <w:p w14:paraId="25DBF4B4">
      <w:pPr>
        <w:pStyle w:val="56"/>
        <w:ind w:firstLine="420"/>
      </w:pPr>
      <w:r>
        <w:rPr>
          <w:rFonts w:hint="eastAsia"/>
        </w:rPr>
        <w:t>数据来源：企业采购清单、物料清单（BOM）、供应商提供的初级数据。</w:t>
      </w:r>
    </w:p>
    <w:p w14:paraId="3EC91FBE">
      <w:pPr>
        <w:pStyle w:val="65"/>
        <w:spacing w:before="120" w:after="120"/>
      </w:pPr>
      <w:r>
        <w:rPr>
          <w:rFonts w:hint="eastAsia"/>
        </w:rPr>
        <w:t>生产制造阶段</w:t>
      </w:r>
    </w:p>
    <w:p w14:paraId="6C9784E2">
      <w:pPr>
        <w:pStyle w:val="56"/>
        <w:ind w:firstLine="420"/>
      </w:pPr>
      <w:r>
        <w:rPr>
          <w:rFonts w:hint="eastAsia"/>
        </w:rPr>
        <w:t>生产制造阶段指从产品原材料进入工厂开始，到互感器产品离开工厂终止。包括铁心加工，线圈绕制，绝缘处理，组装与焊接等过程的能源消耗量。</w:t>
      </w:r>
    </w:p>
    <w:p w14:paraId="6207F6E5">
      <w:pPr>
        <w:pStyle w:val="132"/>
      </w:pPr>
      <w:r>
        <w:rPr>
          <w:rFonts w:hint="eastAsia"/>
        </w:rPr>
        <w:t>铁心加工： 纵剪、横剪、卷绕、退火等设备耗电量。</w:t>
      </w:r>
    </w:p>
    <w:p w14:paraId="07E9373C">
      <w:pPr>
        <w:pStyle w:val="132"/>
      </w:pPr>
      <w:r>
        <w:rPr>
          <w:rFonts w:hint="eastAsia"/>
        </w:rPr>
        <w:t>线圈绕制： 绕线机耗电量。</w:t>
      </w:r>
    </w:p>
    <w:p w14:paraId="2F5B9A30">
      <w:pPr>
        <w:pStyle w:val="132"/>
      </w:pPr>
      <w:r>
        <w:rPr>
          <w:rFonts w:hint="eastAsia"/>
        </w:rPr>
        <w:t>绝缘处理： 真空浸渍、烘干固化设备的耗电量及可能消耗的天然气。</w:t>
      </w:r>
    </w:p>
    <w:p w14:paraId="4C3D87A7">
      <w:pPr>
        <w:pStyle w:val="132"/>
      </w:pPr>
      <w:r>
        <w:rPr>
          <w:rFonts w:hint="eastAsia"/>
        </w:rPr>
        <w:t>组装与焊接： 组装线、焊接设备耗电量。</w:t>
      </w:r>
    </w:p>
    <w:p w14:paraId="14B4F488">
      <w:pPr>
        <w:pStyle w:val="132"/>
      </w:pPr>
      <w:r>
        <w:rPr>
          <w:rFonts w:hint="eastAsia"/>
        </w:rPr>
        <w:t>密封与浇注（针对固体绝缘互感器）： 混料、真空浇注、固化设备的耗电量。</w:t>
      </w:r>
    </w:p>
    <w:p w14:paraId="3610F90F">
      <w:pPr>
        <w:pStyle w:val="132"/>
      </w:pPr>
      <w:r>
        <w:rPr>
          <w:rFonts w:hint="eastAsia"/>
        </w:rPr>
        <w:t>检测与试验： 测试平台、高压试验设备的耗电量。</w:t>
      </w:r>
    </w:p>
    <w:p w14:paraId="0918497B">
      <w:pPr>
        <w:pStyle w:val="56"/>
        <w:ind w:firstLine="420"/>
      </w:pPr>
      <w:r>
        <w:rPr>
          <w:rFonts w:hint="eastAsia"/>
        </w:rPr>
        <w:t>注：厂内辅助设施（如空压机、空调、照明等）的能耗，若无法直接分摊至具体产品，可根据本标准第6.3章进行分配。非生产性的能耗（如办公区、食堂能耗）应排除在外。</w:t>
      </w:r>
    </w:p>
    <w:p w14:paraId="35BA13C8">
      <w:pPr>
        <w:pStyle w:val="56"/>
        <w:ind w:firstLine="420"/>
      </w:pPr>
      <w:r>
        <w:rPr>
          <w:rFonts w:hint="eastAsia"/>
        </w:rPr>
        <w:t>数据来源：车间级或设备级电表、天然气表读数，能源消耗台账。</w:t>
      </w:r>
    </w:p>
    <w:p w14:paraId="4B6381F6">
      <w:pPr>
        <w:pStyle w:val="65"/>
        <w:spacing w:before="120" w:after="120"/>
      </w:pPr>
      <w:r>
        <w:rPr>
          <w:rFonts w:hint="eastAsia"/>
        </w:rPr>
        <w:t>运输配送阶段</w:t>
      </w:r>
    </w:p>
    <w:p w14:paraId="30F84561">
      <w:pPr>
        <w:pStyle w:val="56"/>
        <w:ind w:firstLine="420"/>
      </w:pPr>
      <w:r>
        <w:rPr>
          <w:rFonts w:hint="eastAsia"/>
        </w:rPr>
        <w:t>收集主要原材料从供应商到工厂，以及成品从工厂到主要客户或配送中心的运输数据，包括运输方式（公路、铁路、海运、空运）、运输距离和货物重量。</w:t>
      </w:r>
    </w:p>
    <w:p w14:paraId="7D709DDF">
      <w:pPr>
        <w:pStyle w:val="56"/>
        <w:ind w:firstLine="420"/>
      </w:pPr>
      <w:r>
        <w:rPr>
          <w:rFonts w:hint="eastAsia"/>
        </w:rPr>
        <w:t>数据来源：物流单据、运输管理系统。</w:t>
      </w:r>
    </w:p>
    <w:p w14:paraId="49EB4344">
      <w:pPr>
        <w:pStyle w:val="65"/>
        <w:spacing w:before="120" w:after="120"/>
      </w:pPr>
      <w:r>
        <w:rPr>
          <w:rFonts w:hint="eastAsia"/>
        </w:rPr>
        <w:t>使用阶段（可选）</w:t>
      </w:r>
    </w:p>
    <w:p w14:paraId="652C1EE7">
      <w:pPr>
        <w:pStyle w:val="56"/>
        <w:ind w:firstLine="420"/>
      </w:pPr>
      <w:r>
        <w:rPr>
          <w:rFonts w:hint="eastAsia"/>
        </w:rPr>
        <w:t>此阶段排放通常较低，但若核算，需估算产品在典型运行条件下的空载损耗和负载损耗引起的间接排放。</w:t>
      </w:r>
    </w:p>
    <w:p w14:paraId="06311572">
      <w:pPr>
        <w:pStyle w:val="56"/>
        <w:ind w:firstLine="420"/>
      </w:pPr>
      <w:r>
        <w:rPr>
          <w:rFonts w:hint="eastAsia"/>
        </w:rPr>
        <w:t>数据来源：产品技术参数、用户运行数据假设。</w:t>
      </w:r>
    </w:p>
    <w:p w14:paraId="6E80E4B4">
      <w:pPr>
        <w:pStyle w:val="65"/>
        <w:spacing w:before="120" w:after="120"/>
      </w:pPr>
      <w:r>
        <w:rPr>
          <w:rFonts w:hint="eastAsia"/>
        </w:rPr>
        <w:t>生命末期阶段（可选）</w:t>
      </w:r>
    </w:p>
    <w:p w14:paraId="1E6087EE">
      <w:pPr>
        <w:pStyle w:val="56"/>
        <w:ind w:firstLine="420"/>
      </w:pPr>
      <w:r>
        <w:rPr>
          <w:rFonts w:hint="eastAsia"/>
        </w:rPr>
        <w:t>基于行业平均回收率和典型处置方式（如拆解、金属回收、填埋、焚烧）进行估算。</w:t>
      </w:r>
    </w:p>
    <w:p w14:paraId="7A93EDB3">
      <w:pPr>
        <w:pStyle w:val="56"/>
        <w:ind w:firstLine="420"/>
      </w:pPr>
      <w:r>
        <w:rPr>
          <w:rFonts w:hint="eastAsia"/>
        </w:rPr>
        <w:t>数据来源：文献数据、行业报告、废弃电器电子产品处理数据库。</w:t>
      </w:r>
    </w:p>
    <w:p w14:paraId="28CAC0DF">
      <w:pPr>
        <w:pStyle w:val="105"/>
        <w:spacing w:before="120" w:after="120"/>
      </w:pPr>
      <w:r>
        <w:t>数据计算</w:t>
      </w:r>
    </w:p>
    <w:p w14:paraId="65AEB958">
      <w:pPr>
        <w:pStyle w:val="65"/>
        <w:spacing w:before="120" w:after="120"/>
      </w:pPr>
      <w:r>
        <w:t>活动数据</w:t>
      </w:r>
    </w:p>
    <w:p w14:paraId="34CA693C">
      <w:pPr>
        <w:pStyle w:val="56"/>
        <w:ind w:firstLine="420"/>
      </w:pPr>
      <w:r>
        <w:rPr>
          <w:rFonts w:hint="eastAsia"/>
        </w:rPr>
        <w:t>将6.1中收集的原始数据，按功能单位进行整理和量化。</w:t>
      </w:r>
    </w:p>
    <w:p w14:paraId="4A9DC1FB">
      <w:pPr>
        <w:pStyle w:val="65"/>
        <w:spacing w:before="120" w:after="120"/>
      </w:pPr>
      <w:r>
        <w:rPr>
          <w:rFonts w:hint="eastAsia"/>
        </w:rPr>
        <w:t>排放因子</w:t>
      </w:r>
    </w:p>
    <w:p w14:paraId="39704836">
      <w:pPr>
        <w:pStyle w:val="56"/>
        <w:ind w:firstLine="420"/>
      </w:pPr>
      <w:r>
        <w:rPr>
          <w:rFonts w:hint="eastAsia"/>
        </w:rPr>
        <w:t>优先使用以下来源的排放因子（按优先级排序）：</w:t>
      </w:r>
    </w:p>
    <w:p w14:paraId="1A8F62D1">
      <w:pPr>
        <w:pStyle w:val="174"/>
      </w:pPr>
      <w:r>
        <w:rPr>
          <w:rFonts w:hint="eastAsia"/>
        </w:rPr>
        <w:t>供应商提供的经第三方核查的初级数据；</w:t>
      </w:r>
    </w:p>
    <w:p w14:paraId="0BD0811A">
      <w:pPr>
        <w:pStyle w:val="174"/>
      </w:pPr>
      <w:r>
        <w:rPr>
          <w:rFonts w:hint="eastAsia"/>
        </w:rPr>
        <w:t>代表特定地区和工艺的国家或官方发布的数据库（如中国产品全生命周期温室气体排放系数库）；</w:t>
      </w:r>
    </w:p>
    <w:p w14:paraId="76B3093A">
      <w:pPr>
        <w:pStyle w:val="174"/>
      </w:pPr>
      <w:r>
        <w:rPr>
          <w:rFonts w:hint="eastAsia"/>
        </w:rPr>
        <w:t>国际公认的权威商业数据库（如Ecoinvent, GaBi）；</w:t>
      </w:r>
    </w:p>
    <w:p w14:paraId="288948F6">
      <w:pPr>
        <w:pStyle w:val="174"/>
      </w:pPr>
      <w:r>
        <w:rPr>
          <w:rFonts w:hint="eastAsia"/>
        </w:rPr>
        <w:t>政府间气候变化专门委员会（IPCC）等发布的缺省值。</w:t>
      </w:r>
    </w:p>
    <w:p w14:paraId="7936DB30">
      <w:pPr>
        <w:pStyle w:val="56"/>
        <w:ind w:firstLine="420"/>
      </w:pPr>
      <w:r>
        <w:rPr>
          <w:rFonts w:hint="eastAsia"/>
        </w:rPr>
        <w:t>电力排放因子具体说明：</w:t>
      </w:r>
    </w:p>
    <w:p w14:paraId="09F04C7F">
      <w:pPr>
        <w:pStyle w:val="132"/>
      </w:pPr>
      <w:r>
        <w:rPr>
          <w:rFonts w:hint="eastAsia"/>
        </w:rPr>
        <w:t>电网电力：应采用企业生产所在地的省级电网平均二氧化碳排放因子（最新发布版本）。核算报告中需明确所用排放因子的年份和来源；</w:t>
      </w:r>
    </w:p>
    <w:p w14:paraId="25A6D75C">
      <w:pPr>
        <w:pStyle w:val="132"/>
      </w:pPr>
      <w:r>
        <w:rPr>
          <w:rFonts w:hint="eastAsia"/>
        </w:rPr>
        <w:t>自发电（如自备电厂、光伏发电）：应核算自发电过程中消耗的燃料产生的排放。对于并网的光伏发电，可基于实际发电量并使用生命周期排放因子进行计算；</w:t>
      </w:r>
    </w:p>
    <w:p w14:paraId="506FD647">
      <w:pPr>
        <w:pStyle w:val="132"/>
      </w:pPr>
      <w:r>
        <w:rPr>
          <w:rFonts w:hint="eastAsia"/>
        </w:rPr>
        <w:t>市场化采购电力（如绿电交易）：若企业通过市场化方式采购了绿电（附带绿证），应在报告中明确声明，并可采用该部分电力的排放因子为0或接近0的值进行计算，但同时需说明对电网平均排放因子的影响处理方式（如采用剩余电网混合排放因子）。所有相关购电协议和绿证信息应作为报告附件或可供核查。</w:t>
      </w:r>
    </w:p>
    <w:p w14:paraId="6A7A26FD">
      <w:pPr>
        <w:pStyle w:val="65"/>
        <w:spacing w:before="120" w:after="120"/>
      </w:pPr>
      <w:r>
        <w:rPr>
          <w:rFonts w:hint="eastAsia"/>
        </w:rPr>
        <w:t>计算模型</w:t>
      </w:r>
    </w:p>
    <w:p w14:paraId="35D22AD3">
      <w:pPr>
        <w:pStyle w:val="56"/>
        <w:ind w:firstLine="420"/>
      </w:pPr>
      <w:r>
        <w:rPr>
          <w:rFonts w:hint="eastAsia"/>
        </w:rPr>
        <w:t>产品碳足迹（PCF）是产品系统内所有温室气体排放量和清除量的总和，按以下公式计算：</w:t>
      </w:r>
    </w:p>
    <w:p w14:paraId="00BF81AB">
      <w:pPr>
        <w:pStyle w:val="113"/>
      </w:pPr>
      <w:r>
        <w:tab/>
      </w:r>
      <m:oMath>
        <m:r>
          <m:rPr>
            <m:sty m:val="p"/>
          </m:rPr>
          <w:rPr>
            <w:rFonts w:ascii="Cambria Math" w:hAnsi="Cambria Math"/>
          </w:rPr>
          <m:t>PCF = Σ (AD_i × EF_i) + Σ (Removal_j × GWP_j)</m:t>
        </m:r>
      </m:oMath>
      <w:r>
        <w:rPr>
          <w:rFonts w:ascii="微软雅黑" w:hAnsi="微软雅黑" w:eastAsia="微软雅黑"/>
        </w:rPr>
        <w:tab/>
      </w:r>
      <w:r>
        <w:t>(</w:t>
      </w:r>
      <w:r>
        <w:fldChar w:fldCharType="begin"/>
      </w:r>
      <w:r>
        <w:instrText xml:space="preserve"> AUTONUM </w:instrText>
      </w:r>
      <w:r>
        <w:fldChar w:fldCharType="end"/>
      </w:r>
      <w:r>
        <w:t>)</w:t>
      </w:r>
    </w:p>
    <w:p w14:paraId="5DD02DA4">
      <w:pPr>
        <w:pStyle w:val="55"/>
        <w:ind w:firstLine="420"/>
      </w:pPr>
      <w:r>
        <w:rPr>
          <w:rFonts w:hint="eastAsia"/>
        </w:rPr>
        <w:t>式中：</w:t>
      </w:r>
    </w:p>
    <w:p w14:paraId="5B49FC0B">
      <w:pPr>
        <w:pStyle w:val="56"/>
        <w:ind w:firstLine="420"/>
      </w:pPr>
      <w:r>
        <w:t>PCF——</w:t>
      </w:r>
      <w:r>
        <w:rPr>
          <w:rFonts w:hint="eastAsia"/>
        </w:rPr>
        <w:t>产品碳足迹，单位为千克二氧化碳当量（</w:t>
      </w:r>
      <w:r>
        <w:t>kg CO₂e</w:t>
      </w:r>
      <w:r>
        <w:rPr>
          <w:rFonts w:hint="eastAsia"/>
        </w:rPr>
        <w:t>）；</w:t>
      </w:r>
    </w:p>
    <w:p w14:paraId="3A2C150B">
      <w:pPr>
        <w:pStyle w:val="56"/>
        <w:ind w:firstLine="420"/>
      </w:pPr>
      <w:r>
        <w:rPr>
          <w:rFonts w:hint="eastAsia"/>
        </w:rPr>
        <w:t>AD_i</w:t>
      </w:r>
      <w:r>
        <w:t>——</w:t>
      </w:r>
      <w:r>
        <w:rPr>
          <w:rFonts w:hint="eastAsia"/>
        </w:rPr>
        <w:t xml:space="preserve"> 第 i 项导致排放的活动数据（如：千克材料，千瓦时电力，升柴油）；</w:t>
      </w:r>
    </w:p>
    <w:p w14:paraId="143FB66E">
      <w:pPr>
        <w:pStyle w:val="56"/>
        <w:ind w:firstLine="420"/>
      </w:pPr>
      <w:r>
        <w:t>EF_i——</w:t>
      </w:r>
      <w:r>
        <w:rPr>
          <w:rFonts w:hint="eastAsia"/>
        </w:rPr>
        <w:t>第</w:t>
      </w:r>
      <w:r>
        <w:t xml:space="preserve"> i </w:t>
      </w:r>
      <w:r>
        <w:rPr>
          <w:rFonts w:hint="eastAsia"/>
        </w:rPr>
        <w:t>项活动的排放因子（如：</w:t>
      </w:r>
      <w:r>
        <w:t>kg CO₂e/kg</w:t>
      </w:r>
      <w:r>
        <w:rPr>
          <w:rFonts w:hint="eastAsia"/>
        </w:rPr>
        <w:t>材料，</w:t>
      </w:r>
      <w:r>
        <w:t>kg CO₂e/kWh</w:t>
      </w:r>
      <w:r>
        <w:rPr>
          <w:rFonts w:hint="eastAsia"/>
        </w:rPr>
        <w:t>，</w:t>
      </w:r>
      <w:r>
        <w:t>kg CO₂e/L</w:t>
      </w:r>
      <w:r>
        <w:rPr>
          <w:rFonts w:hint="eastAsia"/>
        </w:rPr>
        <w:t>）；</w:t>
      </w:r>
    </w:p>
    <w:p w14:paraId="68827A46">
      <w:pPr>
        <w:pStyle w:val="56"/>
        <w:ind w:firstLine="420"/>
      </w:pPr>
      <w:r>
        <w:rPr>
          <w:rFonts w:hint="eastAsia"/>
        </w:rPr>
        <w:t>Removal_j</w:t>
      </w:r>
      <w:r>
        <w:t>——</w:t>
      </w:r>
      <w:r>
        <w:rPr>
          <w:rFonts w:hint="eastAsia"/>
        </w:rPr>
        <w:t>第 j 项温室气体清除活动数据（如：生物碳封存）；</w:t>
      </w:r>
    </w:p>
    <w:p w14:paraId="1F0C1FA4">
      <w:pPr>
        <w:pStyle w:val="56"/>
        <w:ind w:firstLine="420"/>
      </w:pPr>
      <w:r>
        <w:rPr>
          <w:rFonts w:hint="eastAsia"/>
        </w:rPr>
        <w:t>GWP_j</w:t>
      </w:r>
      <w:r>
        <w:t>——</w:t>
      </w:r>
      <w:r>
        <w:rPr>
          <w:rFonts w:hint="eastAsia"/>
        </w:rPr>
        <w:t>第 j 种被清除温室气体的全球变暖潜势值。</w:t>
      </w:r>
    </w:p>
    <w:p w14:paraId="74EC1EED">
      <w:pPr>
        <w:pStyle w:val="56"/>
        <w:ind w:firstLine="420"/>
      </w:pPr>
      <w:r>
        <w:rPr>
          <w:rFonts w:hint="eastAsia"/>
        </w:rPr>
        <w:t>求和范围覆盖系统边界内的所有相关活动和清除过程。</w:t>
      </w:r>
    </w:p>
    <w:p w14:paraId="6B1A6A7D">
      <w:pPr>
        <w:pStyle w:val="105"/>
        <w:spacing w:before="120" w:after="120"/>
      </w:pPr>
      <w:r>
        <w:rPr>
          <w:rFonts w:hint="eastAsia"/>
        </w:rPr>
        <w:t>数据分配</w:t>
      </w:r>
    </w:p>
    <w:p w14:paraId="383DCFC9">
      <w:pPr>
        <w:pStyle w:val="56"/>
        <w:ind w:firstLine="420"/>
      </w:pPr>
      <w:r>
        <w:rPr>
          <w:rFonts w:hint="eastAsia"/>
        </w:rPr>
        <w:t>在多产品共线生产或共享能源的情况下，应根据物理关系（如质量、面积、工时）或经济关系（如产值）将总排放量合理地分配到具体产品上。对于互感器生产，推荐优先采用基于主要原料（如硅钢片、铜）投入重量或产品标准工时进行分配。所选分配方法及其理由应在报告中明确说明。</w:t>
      </w:r>
    </w:p>
    <w:p w14:paraId="2C9C9FF7">
      <w:pPr>
        <w:pStyle w:val="104"/>
        <w:spacing w:before="240" w:after="240"/>
      </w:pPr>
      <w:r>
        <w:rPr>
          <w:rFonts w:hint="eastAsia"/>
        </w:rPr>
        <w:t>数据质量要求</w:t>
      </w:r>
    </w:p>
    <w:p w14:paraId="2D9CB155">
      <w:pPr>
        <w:pStyle w:val="105"/>
        <w:spacing w:before="120" w:after="120"/>
      </w:pPr>
      <w:r>
        <w:rPr>
          <w:rFonts w:hint="eastAsia"/>
        </w:rPr>
        <w:t>总体要求</w:t>
      </w:r>
    </w:p>
    <w:p w14:paraId="4B9B14CC">
      <w:pPr>
        <w:pStyle w:val="56"/>
        <w:ind w:firstLine="420"/>
      </w:pPr>
      <w:r>
        <w:rPr>
          <w:rFonts w:hint="eastAsia"/>
        </w:rPr>
        <w:t>数据质量应满足4所述的核算原则，确保核算结果的可靠性和可信度。</w:t>
      </w:r>
    </w:p>
    <w:p w14:paraId="0B10F481">
      <w:pPr>
        <w:pStyle w:val="105"/>
        <w:spacing w:before="120" w:after="120"/>
      </w:pPr>
      <w:r>
        <w:rPr>
          <w:rFonts w:hint="eastAsia"/>
        </w:rPr>
        <w:t>初级数据与次级数据</w:t>
      </w:r>
    </w:p>
    <w:p w14:paraId="5C60A1DE">
      <w:pPr>
        <w:pStyle w:val="165"/>
      </w:pPr>
      <w:r>
        <w:rPr>
          <w:rFonts w:hint="eastAsia"/>
        </w:rPr>
        <w:t>初级数据：对于碳足迹贡献大、可获得性高的环节，应优先使用初级数据。例如，生产阶段的电力、天然气消耗，主要原材料的重量等。</w:t>
      </w:r>
    </w:p>
    <w:p w14:paraId="7E599157">
      <w:pPr>
        <w:pStyle w:val="165"/>
      </w:pPr>
      <w:r>
        <w:rPr>
          <w:rFonts w:hint="eastAsia"/>
        </w:rPr>
        <w:t>次级数据：对于上游原材料生产、运输、废弃处理等难以获取初级数据的环节，可使用次级数据，但应优先选择代表性好、可靠性高的数据库或官方发布数据。</w:t>
      </w:r>
    </w:p>
    <w:p w14:paraId="434B3212">
      <w:pPr>
        <w:pStyle w:val="105"/>
        <w:spacing w:before="120" w:after="120"/>
      </w:pPr>
      <w:r>
        <w:rPr>
          <w:rFonts w:hint="eastAsia"/>
        </w:rPr>
        <w:t>数据质量评价指标</w:t>
      </w:r>
    </w:p>
    <w:p w14:paraId="37A55C88">
      <w:pPr>
        <w:pStyle w:val="56"/>
        <w:ind w:firstLine="420"/>
      </w:pPr>
      <w:r>
        <w:rPr>
          <w:rFonts w:hint="eastAsia"/>
        </w:rPr>
        <w:t>在数据收集过程中，应尽可能评估和记录以下数据质量维度：</w:t>
      </w:r>
    </w:p>
    <w:p w14:paraId="73FB0455">
      <w:pPr>
        <w:pStyle w:val="132"/>
      </w:pPr>
      <w:r>
        <w:rPr>
          <w:rFonts w:hint="eastAsia"/>
        </w:rPr>
        <w:t>技术代表性：数据是否反映了核算产品的特定生产技术、设备效率和工艺水平；</w:t>
      </w:r>
    </w:p>
    <w:p w14:paraId="77A95B16">
      <w:pPr>
        <w:pStyle w:val="132"/>
      </w:pPr>
      <w:r>
        <w:rPr>
          <w:rFonts w:hint="eastAsia"/>
        </w:rPr>
        <w:t>时间代表性：数据的时间范围是否与核算期匹配；</w:t>
      </w:r>
    </w:p>
    <w:p w14:paraId="1D89E0D8">
      <w:pPr>
        <w:pStyle w:val="132"/>
      </w:pPr>
      <w:r>
        <w:rPr>
          <w:rFonts w:hint="eastAsia"/>
        </w:rPr>
        <w:t>地理代表性：数据的地理来源是否与原材料产地、生产地等匹配；</w:t>
      </w:r>
    </w:p>
    <w:p w14:paraId="13416FA3">
      <w:pPr>
        <w:pStyle w:val="132"/>
      </w:pPr>
      <w:r>
        <w:rPr>
          <w:rFonts w:hint="eastAsia"/>
        </w:rPr>
        <w:t>完整性：是否覆盖了所有实质性排放源，对缺失数据的处理是否合理并予以说明。</w:t>
      </w:r>
    </w:p>
    <w:p w14:paraId="3CEB68AB">
      <w:pPr>
        <w:pStyle w:val="105"/>
        <w:spacing w:before="120" w:after="120"/>
      </w:pPr>
      <w:r>
        <w:rPr>
          <w:rFonts w:hint="eastAsia"/>
        </w:rPr>
        <w:t>数据管理</w:t>
      </w:r>
    </w:p>
    <w:p w14:paraId="7FF1471B">
      <w:pPr>
        <w:pStyle w:val="56"/>
        <w:ind w:firstLine="420"/>
      </w:pPr>
      <w:r>
        <w:rPr>
          <w:rFonts w:hint="eastAsia"/>
        </w:rPr>
        <w:t>企业应建立数据管理制度，确保活动数据和相关凭证的准确记录、规范存储和可追溯性，为碳足迹核算和第三方核查提供支持。</w:t>
      </w:r>
    </w:p>
    <w:p w14:paraId="642A3FF1">
      <w:pPr>
        <w:pStyle w:val="104"/>
        <w:spacing w:before="240" w:after="240"/>
      </w:pPr>
      <w:r>
        <w:rPr>
          <w:rFonts w:hint="eastAsia"/>
        </w:rPr>
        <w:t>不确定性分析</w:t>
      </w:r>
    </w:p>
    <w:p w14:paraId="051AEAB8">
      <w:pPr>
        <w:pStyle w:val="105"/>
        <w:spacing w:before="120" w:after="120"/>
      </w:pPr>
      <w:r>
        <w:rPr>
          <w:rFonts w:hint="eastAsia"/>
        </w:rPr>
        <w:t>概述</w:t>
      </w:r>
    </w:p>
    <w:p w14:paraId="34DF22DC">
      <w:pPr>
        <w:pStyle w:val="56"/>
        <w:ind w:firstLine="420"/>
      </w:pPr>
      <w:r>
        <w:rPr>
          <w:rFonts w:hint="eastAsia"/>
        </w:rPr>
        <w:t>为增强结果的可信度，并指导未来数据收集的改进，建议对碳足迹核算结果进行不确定性分析或评估。</w:t>
      </w:r>
    </w:p>
    <w:p w14:paraId="3096D1F2">
      <w:pPr>
        <w:pStyle w:val="105"/>
        <w:spacing w:before="120" w:after="120"/>
      </w:pPr>
      <w:r>
        <w:rPr>
          <w:rFonts w:hint="eastAsia"/>
        </w:rPr>
        <w:t>不确定性来源</w:t>
      </w:r>
    </w:p>
    <w:p w14:paraId="2491384F">
      <w:pPr>
        <w:pStyle w:val="56"/>
        <w:ind w:firstLine="420"/>
      </w:pPr>
      <w:r>
        <w:rPr>
          <w:rFonts w:hint="eastAsia"/>
        </w:rPr>
        <w:t>不确定性主要来源于：</w:t>
      </w:r>
    </w:p>
    <w:p w14:paraId="4826FC17">
      <w:pPr>
        <w:pStyle w:val="132"/>
      </w:pPr>
      <w:r>
        <w:rPr>
          <w:rFonts w:hint="eastAsia"/>
        </w:rPr>
        <w:t>活动数据的不确定性（如计量误差、统计偏差）；</w:t>
      </w:r>
    </w:p>
    <w:p w14:paraId="0A7ABC8D">
      <w:pPr>
        <w:pStyle w:val="132"/>
      </w:pPr>
      <w:r>
        <w:rPr>
          <w:rFonts w:hint="eastAsia"/>
        </w:rPr>
        <w:t>排放因子的不确定性（如数据库数据的变异性、与实际情况的差异）；</w:t>
      </w:r>
    </w:p>
    <w:p w14:paraId="698CB63E">
      <w:pPr>
        <w:pStyle w:val="132"/>
      </w:pPr>
      <w:r>
        <w:rPr>
          <w:rFonts w:hint="eastAsia"/>
        </w:rPr>
        <w:t>模型的不确定性（如分配方法的选择、系统边界的设定）。</w:t>
      </w:r>
    </w:p>
    <w:p w14:paraId="59ACFBB3">
      <w:pPr>
        <w:pStyle w:val="105"/>
        <w:spacing w:before="120" w:after="120"/>
      </w:pPr>
      <w:r>
        <w:rPr>
          <w:rFonts w:hint="eastAsia"/>
        </w:rPr>
        <w:t>分析方法</w:t>
      </w:r>
    </w:p>
    <w:p w14:paraId="44C1BDDA">
      <w:pPr>
        <w:pStyle w:val="165"/>
      </w:pPr>
      <w:r>
        <w:rPr>
          <w:rFonts w:hint="eastAsia"/>
        </w:rPr>
        <w:t>定性描述：识别并描述主要的不确定性来源及其对结果可能产生的影响方向（高估或低估）。</w:t>
      </w:r>
    </w:p>
    <w:p w14:paraId="42B5709A">
      <w:pPr>
        <w:pStyle w:val="165"/>
      </w:pPr>
      <w:r>
        <w:rPr>
          <w:rFonts w:hint="eastAsia"/>
        </w:rPr>
        <w:t>半定量分析：对关键参数（如主要原材料、电力）赋予一个不确定性范围（如±10%），并分析其对最终结果的敏感性。</w:t>
      </w:r>
    </w:p>
    <w:p w14:paraId="7B2BBBCD">
      <w:pPr>
        <w:pStyle w:val="165"/>
      </w:pPr>
      <w:r>
        <w:rPr>
          <w:rFonts w:hint="eastAsia"/>
        </w:rPr>
        <w:t>定量分析（鼓励）：在条件允许时，可采用蒙特卡洛模拟等统计方法，量化结果的不确定性范围。</w:t>
      </w:r>
    </w:p>
    <w:p w14:paraId="6341C824">
      <w:pPr>
        <w:pStyle w:val="105"/>
        <w:spacing w:before="120" w:after="120"/>
      </w:pPr>
      <w:r>
        <w:rPr>
          <w:rFonts w:hint="eastAsia"/>
        </w:rPr>
        <w:t>报告</w:t>
      </w:r>
    </w:p>
    <w:p w14:paraId="73619AB8">
      <w:pPr>
        <w:pStyle w:val="56"/>
        <w:ind w:firstLine="420"/>
      </w:pPr>
      <w:r>
        <w:rPr>
          <w:rFonts w:hint="eastAsia"/>
        </w:rPr>
        <w:t>不确定性分析的结果或讨论应在碳足迹报告中体现。</w:t>
      </w:r>
    </w:p>
    <w:p w14:paraId="1F4B5F66">
      <w:pPr>
        <w:pStyle w:val="104"/>
        <w:spacing w:before="240" w:after="240"/>
      </w:pPr>
      <w:r>
        <w:rPr>
          <w:rFonts w:hint="eastAsia"/>
        </w:rPr>
        <w:t>结果解释</w:t>
      </w:r>
    </w:p>
    <w:p w14:paraId="11983ABE">
      <w:pPr>
        <w:pStyle w:val="105"/>
        <w:spacing w:before="120" w:after="120"/>
      </w:pPr>
      <w:r>
        <w:rPr>
          <w:rFonts w:hint="eastAsia"/>
        </w:rPr>
        <w:t>热点分析</w:t>
      </w:r>
    </w:p>
    <w:p w14:paraId="6FD6C3A2">
      <w:pPr>
        <w:pStyle w:val="56"/>
        <w:ind w:firstLine="420"/>
      </w:pPr>
      <w:r>
        <w:rPr>
          <w:rFonts w:hint="eastAsia"/>
        </w:rPr>
        <w:t>基于核算结果，识别出对产品碳足迹贡献最大的生命周期阶段和单元过程（如硅钢片生产、绝缘固化工艺耗电等），这些即为碳减排的“热点”。</w:t>
      </w:r>
    </w:p>
    <w:p w14:paraId="79CE63DB">
      <w:pPr>
        <w:pStyle w:val="105"/>
        <w:spacing w:before="120" w:after="120"/>
      </w:pPr>
      <w:r>
        <w:rPr>
          <w:rFonts w:hint="eastAsia"/>
        </w:rPr>
        <w:t>比较与评估</w:t>
      </w:r>
    </w:p>
    <w:p w14:paraId="7208EB0C">
      <w:pPr>
        <w:pStyle w:val="165"/>
      </w:pPr>
      <w:r>
        <w:rPr>
          <w:rFonts w:hint="eastAsia"/>
        </w:rPr>
        <w:t>可将本次核算结果与历史数据进行比较，评估减排成效。</w:t>
      </w:r>
    </w:p>
    <w:p w14:paraId="13168C87">
      <w:pPr>
        <w:pStyle w:val="165"/>
      </w:pPr>
      <w:r>
        <w:rPr>
          <w:rFonts w:hint="eastAsia"/>
        </w:rPr>
        <w:t>若进行同行比较，必须确保系统边界、核算方法、数据来源和时间范围等具有高度一致性，并对此进行详细说明。</w:t>
      </w:r>
    </w:p>
    <w:p w14:paraId="05161704">
      <w:pPr>
        <w:pStyle w:val="165"/>
      </w:pPr>
      <w:r>
        <w:rPr>
          <w:rFonts w:hint="eastAsia"/>
        </w:rPr>
        <w:t>评估结果是否符合预期的减排目标或相关标准要求。</w:t>
      </w:r>
    </w:p>
    <w:p w14:paraId="7797E84B">
      <w:pPr>
        <w:pStyle w:val="105"/>
        <w:spacing w:before="120" w:after="120"/>
      </w:pPr>
      <w:r>
        <w:rPr>
          <w:rFonts w:hint="eastAsia"/>
        </w:rPr>
        <w:t>结论与建议</w:t>
      </w:r>
    </w:p>
    <w:p w14:paraId="5F3DF2F5">
      <w:pPr>
        <w:pStyle w:val="56"/>
        <w:ind w:firstLine="420"/>
      </w:pPr>
      <w:r>
        <w:rPr>
          <w:rFonts w:hint="eastAsia"/>
        </w:rPr>
        <w:t>基于热点分析和比较评估，得出核算结论，并提出针对性的碳减排改进建议（如优化产品设计、采用低碳材料、改进生产工艺、提升能源效率、选择绿色物流等）。</w:t>
      </w:r>
    </w:p>
    <w:p w14:paraId="1DC3EDB4">
      <w:pPr>
        <w:pStyle w:val="104"/>
        <w:spacing w:before="240" w:after="240"/>
      </w:pPr>
      <w:r>
        <w:rPr>
          <w:rFonts w:hint="eastAsia"/>
        </w:rPr>
        <w:t>产品碳足迹报告</w:t>
      </w:r>
    </w:p>
    <w:p w14:paraId="12A6EE58">
      <w:pPr>
        <w:pStyle w:val="56"/>
        <w:ind w:firstLine="420"/>
      </w:pPr>
      <w:r>
        <w:rPr>
          <w:rFonts w:hint="eastAsia"/>
        </w:rPr>
        <w:t>互感器产品碳足迹报告的目的是描述互感器产品碳足迹量化的过程和结果，并证明已满足本标准的规定。详细互感器产品碳足迹报告请参见附录D。</w:t>
      </w:r>
    </w:p>
    <w:p w14:paraId="1E26E626">
      <w:pPr>
        <w:pStyle w:val="56"/>
        <w:ind w:firstLine="420"/>
        <w:sectPr>
          <w:pgSz w:w="11906" w:h="16838"/>
          <w:pgMar w:top="1928" w:right="1134" w:bottom="1134" w:left="1134" w:header="1418" w:footer="1134" w:gutter="284"/>
          <w:pgNumType w:start="1"/>
          <w:cols w:space="425" w:num="1"/>
          <w:formProt w:val="0"/>
          <w:docGrid w:linePitch="312" w:charSpace="0"/>
        </w:sectPr>
      </w:pPr>
    </w:p>
    <w:bookmarkEnd w:id="21"/>
    <w:p w14:paraId="4CC21B02">
      <w:pPr>
        <w:pStyle w:val="198"/>
        <w:rPr>
          <w:vanish w:val="0"/>
        </w:rPr>
      </w:pPr>
      <w:bookmarkStart w:id="43" w:name="BookMark5"/>
    </w:p>
    <w:p w14:paraId="02D29930">
      <w:pPr>
        <w:pStyle w:val="199"/>
        <w:rPr>
          <w:vanish w:val="0"/>
        </w:rPr>
      </w:pPr>
    </w:p>
    <w:p w14:paraId="0BD14352">
      <w:pPr>
        <w:pStyle w:val="76"/>
        <w:spacing w:after="120"/>
      </w:pPr>
      <w:r>
        <w:br w:type="textWrapping"/>
      </w:r>
      <w:r>
        <w:rPr>
          <w:rFonts w:hint="eastAsia"/>
        </w:rPr>
        <w:t>（资料性）</w:t>
      </w:r>
      <w:r>
        <w:br w:type="textWrapping"/>
      </w:r>
      <w:r>
        <w:rPr>
          <w:rFonts w:hint="eastAsia"/>
        </w:rPr>
        <w:t>互感器典型生产工艺流程与碳足迹核算要点</w:t>
      </w:r>
    </w:p>
    <w:p w14:paraId="471C2950">
      <w:pPr>
        <w:pStyle w:val="56"/>
        <w:ind w:firstLine="420"/>
      </w:pP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8"/>
        <w:gridCol w:w="2794"/>
        <w:gridCol w:w="2394"/>
        <w:gridCol w:w="2394"/>
      </w:tblGrid>
      <w:tr w14:paraId="45BF6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pct"/>
            <w:tcBorders>
              <w:top w:val="single" w:color="auto" w:sz="4" w:space="0"/>
              <w:left w:val="single" w:color="auto" w:sz="4" w:space="0"/>
              <w:bottom w:val="single" w:color="auto" w:sz="4" w:space="0"/>
              <w:right w:val="single" w:color="auto" w:sz="4" w:space="0"/>
            </w:tcBorders>
            <w:vAlign w:val="center"/>
          </w:tcPr>
          <w:p w14:paraId="0ACBCECE">
            <w:pPr>
              <w:adjustRightInd/>
              <w:spacing w:line="240" w:lineRule="auto"/>
              <w:jc w:val="center"/>
              <w:rPr>
                <w:rFonts w:ascii="宋体" w:hAnsi="宋体"/>
                <w:sz w:val="18"/>
                <w:szCs w:val="18"/>
              </w:rPr>
            </w:pPr>
            <w:r>
              <w:rPr>
                <w:rFonts w:hint="eastAsia" w:ascii="宋体" w:hAnsi="宋体"/>
                <w:sz w:val="18"/>
                <w:szCs w:val="18"/>
              </w:rPr>
              <w:t>生命周期阶段</w:t>
            </w:r>
          </w:p>
        </w:tc>
        <w:tc>
          <w:tcPr>
            <w:tcW w:w="1459" w:type="pct"/>
            <w:tcBorders>
              <w:top w:val="single" w:color="auto" w:sz="4" w:space="0"/>
              <w:left w:val="single" w:color="auto" w:sz="4" w:space="0"/>
              <w:bottom w:val="single" w:color="auto" w:sz="4" w:space="0"/>
              <w:right w:val="single" w:color="auto" w:sz="4" w:space="0"/>
            </w:tcBorders>
            <w:vAlign w:val="center"/>
          </w:tcPr>
          <w:p w14:paraId="3CBFBE8B">
            <w:pPr>
              <w:adjustRightInd/>
              <w:spacing w:line="240" w:lineRule="auto"/>
              <w:jc w:val="center"/>
              <w:rPr>
                <w:rFonts w:ascii="宋体" w:hAnsi="宋体"/>
                <w:sz w:val="18"/>
                <w:szCs w:val="18"/>
              </w:rPr>
            </w:pPr>
            <w:r>
              <w:rPr>
                <w:rFonts w:hint="eastAsia" w:ascii="宋体" w:hAnsi="宋体"/>
                <w:kern w:val="0"/>
                <w:sz w:val="18"/>
                <w:szCs w:val="18"/>
              </w:rPr>
              <w:t>典型工艺</w:t>
            </w:r>
            <w:r>
              <w:rPr>
                <w:rFonts w:ascii="宋体" w:hAnsi="宋体"/>
                <w:kern w:val="0"/>
                <w:sz w:val="18"/>
                <w:szCs w:val="18"/>
              </w:rPr>
              <w:t>/</w:t>
            </w:r>
            <w:r>
              <w:rPr>
                <w:rFonts w:hint="eastAsia" w:ascii="宋体" w:hAnsi="宋体"/>
                <w:kern w:val="0"/>
                <w:sz w:val="18"/>
                <w:szCs w:val="18"/>
              </w:rPr>
              <w:t>活动</w:t>
            </w:r>
          </w:p>
        </w:tc>
        <w:tc>
          <w:tcPr>
            <w:tcW w:w="1250" w:type="pct"/>
            <w:tcBorders>
              <w:top w:val="single" w:color="auto" w:sz="4" w:space="0"/>
              <w:left w:val="single" w:color="auto" w:sz="4" w:space="0"/>
              <w:bottom w:val="single" w:color="auto" w:sz="4" w:space="0"/>
              <w:right w:val="single" w:color="auto" w:sz="4" w:space="0"/>
            </w:tcBorders>
            <w:vAlign w:val="center"/>
          </w:tcPr>
          <w:p w14:paraId="005447D9">
            <w:pPr>
              <w:adjustRightInd/>
              <w:spacing w:line="240" w:lineRule="auto"/>
              <w:jc w:val="center"/>
              <w:rPr>
                <w:rFonts w:ascii="宋体" w:hAnsi="宋体"/>
                <w:sz w:val="18"/>
                <w:szCs w:val="18"/>
              </w:rPr>
            </w:pPr>
            <w:r>
              <w:rPr>
                <w:rFonts w:hint="eastAsia" w:ascii="宋体" w:hAnsi="宋体"/>
                <w:sz w:val="18"/>
                <w:szCs w:val="18"/>
              </w:rPr>
              <w:t>主要碳排放源</w:t>
            </w:r>
          </w:p>
        </w:tc>
        <w:tc>
          <w:tcPr>
            <w:tcW w:w="1250" w:type="pct"/>
            <w:tcBorders>
              <w:top w:val="single" w:color="auto" w:sz="4" w:space="0"/>
              <w:left w:val="single" w:color="auto" w:sz="4" w:space="0"/>
              <w:bottom w:val="single" w:color="auto" w:sz="4" w:space="0"/>
              <w:right w:val="single" w:color="auto" w:sz="4" w:space="0"/>
            </w:tcBorders>
            <w:vAlign w:val="center"/>
          </w:tcPr>
          <w:p w14:paraId="73EAAF0E">
            <w:pPr>
              <w:adjustRightInd/>
              <w:spacing w:line="240" w:lineRule="auto"/>
              <w:jc w:val="center"/>
              <w:rPr>
                <w:rFonts w:ascii="宋体" w:hAnsi="宋体"/>
                <w:sz w:val="18"/>
                <w:szCs w:val="18"/>
              </w:rPr>
            </w:pPr>
            <w:r>
              <w:rPr>
                <w:rFonts w:hint="eastAsia" w:ascii="宋体" w:hAnsi="宋体"/>
                <w:sz w:val="18"/>
                <w:szCs w:val="18"/>
              </w:rPr>
              <w:t>核算要点与数据收集建议</w:t>
            </w:r>
          </w:p>
        </w:tc>
      </w:tr>
      <w:tr w14:paraId="58B9C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pct"/>
            <w:tcBorders>
              <w:top w:val="single" w:color="auto" w:sz="4" w:space="0"/>
              <w:left w:val="single" w:color="auto" w:sz="4" w:space="0"/>
              <w:bottom w:val="single" w:color="auto" w:sz="4" w:space="0"/>
              <w:right w:val="single" w:color="auto" w:sz="4" w:space="0"/>
            </w:tcBorders>
            <w:vAlign w:val="center"/>
          </w:tcPr>
          <w:p w14:paraId="16DC69ED">
            <w:pPr>
              <w:adjustRightInd/>
              <w:spacing w:line="240" w:lineRule="auto"/>
              <w:jc w:val="center"/>
              <w:rPr>
                <w:rFonts w:ascii="宋体" w:hAnsi="宋体"/>
                <w:sz w:val="18"/>
                <w:szCs w:val="18"/>
              </w:rPr>
            </w:pPr>
            <w:r>
              <w:rPr>
                <w:rFonts w:hint="eastAsia" w:ascii="宋体" w:hAnsi="宋体"/>
                <w:sz w:val="18"/>
                <w:szCs w:val="18"/>
              </w:rPr>
              <w:t>原材料获取</w:t>
            </w:r>
          </w:p>
        </w:tc>
        <w:tc>
          <w:tcPr>
            <w:tcW w:w="1459" w:type="pct"/>
            <w:tcBorders>
              <w:top w:val="single" w:color="auto" w:sz="4" w:space="0"/>
              <w:left w:val="single" w:color="auto" w:sz="4" w:space="0"/>
              <w:bottom w:val="single" w:color="auto" w:sz="4" w:space="0"/>
              <w:right w:val="single" w:color="auto" w:sz="4" w:space="0"/>
            </w:tcBorders>
            <w:vAlign w:val="center"/>
          </w:tcPr>
          <w:p w14:paraId="2E43DAB3">
            <w:pPr>
              <w:adjustRightInd/>
              <w:spacing w:line="240" w:lineRule="auto"/>
              <w:jc w:val="center"/>
              <w:rPr>
                <w:rFonts w:ascii="宋体" w:hAnsi="宋体"/>
                <w:sz w:val="18"/>
                <w:szCs w:val="18"/>
              </w:rPr>
            </w:pPr>
            <w:r>
              <w:rPr>
                <w:rFonts w:hint="eastAsia" w:ascii="宋体" w:hAnsi="宋体"/>
                <w:sz w:val="18"/>
                <w:szCs w:val="18"/>
              </w:rPr>
              <w:t>金属冶炼（铜、铝、钢）、硅钢片生产、石化产品（环氧树脂、绝缘漆）生产、零部件制造</w:t>
            </w:r>
          </w:p>
        </w:tc>
        <w:tc>
          <w:tcPr>
            <w:tcW w:w="1250" w:type="pct"/>
            <w:tcBorders>
              <w:top w:val="single" w:color="auto" w:sz="4" w:space="0"/>
              <w:left w:val="single" w:color="auto" w:sz="4" w:space="0"/>
              <w:bottom w:val="single" w:color="auto" w:sz="4" w:space="0"/>
              <w:right w:val="single" w:color="auto" w:sz="4" w:space="0"/>
            </w:tcBorders>
            <w:vAlign w:val="center"/>
          </w:tcPr>
          <w:p w14:paraId="20E4D2C4">
            <w:pPr>
              <w:adjustRightInd/>
              <w:spacing w:line="240" w:lineRule="auto"/>
              <w:jc w:val="center"/>
              <w:rPr>
                <w:rFonts w:ascii="宋体" w:hAnsi="宋体"/>
                <w:sz w:val="18"/>
                <w:szCs w:val="18"/>
              </w:rPr>
            </w:pPr>
            <w:r>
              <w:rPr>
                <w:rFonts w:hint="eastAsia" w:ascii="宋体" w:hAnsi="宋体"/>
                <w:sz w:val="18"/>
                <w:szCs w:val="18"/>
              </w:rPr>
              <w:t>上游生产过程能耗（电力、燃料）、工艺过程排放</w:t>
            </w:r>
          </w:p>
        </w:tc>
        <w:tc>
          <w:tcPr>
            <w:tcW w:w="1250" w:type="pct"/>
            <w:tcBorders>
              <w:top w:val="single" w:color="auto" w:sz="4" w:space="0"/>
              <w:left w:val="single" w:color="auto" w:sz="4" w:space="0"/>
              <w:bottom w:val="single" w:color="auto" w:sz="4" w:space="0"/>
              <w:right w:val="single" w:color="auto" w:sz="4" w:space="0"/>
            </w:tcBorders>
            <w:vAlign w:val="center"/>
          </w:tcPr>
          <w:p w14:paraId="74C09511">
            <w:pPr>
              <w:adjustRightInd/>
              <w:spacing w:line="240" w:lineRule="auto"/>
              <w:jc w:val="center"/>
              <w:rPr>
                <w:rFonts w:ascii="宋体" w:hAnsi="宋体"/>
                <w:sz w:val="18"/>
                <w:szCs w:val="18"/>
              </w:rPr>
            </w:pPr>
            <w:r>
              <w:rPr>
                <w:rFonts w:hint="eastAsia" w:ascii="宋体" w:hAnsi="宋体"/>
                <w:sz w:val="18"/>
                <w:szCs w:val="18"/>
              </w:rPr>
              <w:t>重点：</w:t>
            </w:r>
            <w:r>
              <w:rPr>
                <w:rFonts w:ascii="宋体" w:hAnsi="宋体"/>
                <w:sz w:val="18"/>
                <w:szCs w:val="18"/>
              </w:rPr>
              <w:t xml:space="preserve"> </w:t>
            </w:r>
            <w:r>
              <w:rPr>
                <w:rFonts w:hint="eastAsia" w:ascii="宋体" w:hAnsi="宋体"/>
                <w:sz w:val="18"/>
                <w:szCs w:val="18"/>
              </w:rPr>
              <w:t>硅钢片和铜材是碳足迹贡献大户。建议：</w:t>
            </w:r>
            <w:r>
              <w:rPr>
                <w:rFonts w:ascii="宋体" w:hAnsi="宋体"/>
                <w:sz w:val="18"/>
                <w:szCs w:val="18"/>
              </w:rPr>
              <w:t xml:space="preserve"> </w:t>
            </w:r>
            <w:r>
              <w:rPr>
                <w:rFonts w:hint="eastAsia" w:ascii="宋体" w:hAnsi="宋体"/>
                <w:sz w:val="18"/>
                <w:szCs w:val="18"/>
              </w:rPr>
              <w:t>积极向核心供应商索取初级数据或环境产品声明。</w:t>
            </w:r>
          </w:p>
        </w:tc>
      </w:tr>
      <w:tr w14:paraId="2F403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pct"/>
            <w:tcBorders>
              <w:top w:val="single" w:color="auto" w:sz="4" w:space="0"/>
              <w:left w:val="single" w:color="auto" w:sz="4" w:space="0"/>
              <w:bottom w:val="single" w:color="auto" w:sz="4" w:space="0"/>
              <w:right w:val="single" w:color="auto" w:sz="4" w:space="0"/>
            </w:tcBorders>
            <w:vAlign w:val="center"/>
          </w:tcPr>
          <w:p w14:paraId="7DF69CD7">
            <w:pPr>
              <w:adjustRightInd/>
              <w:spacing w:line="240" w:lineRule="auto"/>
              <w:jc w:val="center"/>
              <w:rPr>
                <w:rFonts w:ascii="宋体" w:hAnsi="宋体"/>
                <w:sz w:val="18"/>
                <w:szCs w:val="18"/>
              </w:rPr>
            </w:pPr>
            <w:r>
              <w:rPr>
                <w:rFonts w:hint="eastAsia" w:ascii="宋体" w:hAnsi="宋体"/>
                <w:sz w:val="18"/>
                <w:szCs w:val="18"/>
              </w:rPr>
              <w:t>生产制造</w:t>
            </w:r>
          </w:p>
        </w:tc>
        <w:tc>
          <w:tcPr>
            <w:tcW w:w="1459" w:type="pct"/>
            <w:tcBorders>
              <w:top w:val="single" w:color="auto" w:sz="4" w:space="0"/>
              <w:left w:val="single" w:color="auto" w:sz="4" w:space="0"/>
              <w:bottom w:val="single" w:color="auto" w:sz="4" w:space="0"/>
              <w:right w:val="single" w:color="auto" w:sz="4" w:space="0"/>
            </w:tcBorders>
            <w:vAlign w:val="center"/>
          </w:tcPr>
          <w:p w14:paraId="000FC0F5">
            <w:pPr>
              <w:adjustRightInd/>
              <w:spacing w:line="240" w:lineRule="auto"/>
              <w:jc w:val="center"/>
              <w:rPr>
                <w:rFonts w:ascii="宋体" w:hAnsi="宋体"/>
                <w:sz w:val="18"/>
                <w:szCs w:val="18"/>
              </w:rPr>
            </w:pPr>
            <w:r>
              <w:rPr>
                <w:rFonts w:hint="eastAsia" w:ascii="宋体" w:hAnsi="宋体"/>
                <w:sz w:val="18"/>
                <w:szCs w:val="18"/>
              </w:rPr>
              <w:t>铁心加工、线圈绕制、绝缘处理（浸渍、浇注）、组装、焊接、检测试验</w:t>
            </w:r>
          </w:p>
        </w:tc>
        <w:tc>
          <w:tcPr>
            <w:tcW w:w="1250" w:type="pct"/>
            <w:tcBorders>
              <w:top w:val="single" w:color="auto" w:sz="4" w:space="0"/>
              <w:left w:val="single" w:color="auto" w:sz="4" w:space="0"/>
              <w:bottom w:val="single" w:color="auto" w:sz="4" w:space="0"/>
              <w:right w:val="single" w:color="auto" w:sz="4" w:space="0"/>
            </w:tcBorders>
            <w:vAlign w:val="center"/>
          </w:tcPr>
          <w:p w14:paraId="581919FB">
            <w:pPr>
              <w:adjustRightInd/>
              <w:spacing w:line="240" w:lineRule="auto"/>
              <w:jc w:val="center"/>
              <w:rPr>
                <w:rFonts w:ascii="宋体" w:hAnsi="宋体"/>
                <w:sz w:val="18"/>
                <w:szCs w:val="18"/>
              </w:rPr>
            </w:pPr>
            <w:r>
              <w:rPr>
                <w:rFonts w:hint="eastAsia" w:ascii="宋体" w:hAnsi="宋体"/>
                <w:sz w:val="18"/>
                <w:szCs w:val="18"/>
              </w:rPr>
              <w:t>电力消耗（主要）、天然气消耗（烘干、固化）、</w:t>
            </w:r>
            <w:r>
              <w:rPr>
                <w:rFonts w:ascii="宋体" w:hAnsi="宋体"/>
                <w:sz w:val="18"/>
                <w:szCs w:val="18"/>
              </w:rPr>
              <w:t>SF</w:t>
            </w:r>
            <w:r>
              <w:rPr>
                <w:rFonts w:ascii="MS Gothic" w:hAnsi="MS Gothic" w:cs="MS Gothic"/>
                <w:sz w:val="18"/>
                <w:szCs w:val="18"/>
              </w:rPr>
              <w:t>₆</w:t>
            </w:r>
            <w:r>
              <w:rPr>
                <w:rFonts w:hint="eastAsia" w:ascii="宋体" w:hAnsi="宋体"/>
                <w:sz w:val="18"/>
                <w:szCs w:val="18"/>
              </w:rPr>
              <w:t>泄漏（如用于绝缘）</w:t>
            </w:r>
          </w:p>
        </w:tc>
        <w:tc>
          <w:tcPr>
            <w:tcW w:w="1250" w:type="pct"/>
            <w:tcBorders>
              <w:top w:val="single" w:color="auto" w:sz="4" w:space="0"/>
              <w:left w:val="single" w:color="auto" w:sz="4" w:space="0"/>
              <w:bottom w:val="single" w:color="auto" w:sz="4" w:space="0"/>
              <w:right w:val="single" w:color="auto" w:sz="4" w:space="0"/>
            </w:tcBorders>
            <w:vAlign w:val="center"/>
          </w:tcPr>
          <w:p w14:paraId="7B05C292">
            <w:pPr>
              <w:adjustRightInd/>
              <w:spacing w:line="240" w:lineRule="auto"/>
              <w:jc w:val="center"/>
              <w:rPr>
                <w:rFonts w:ascii="宋体" w:hAnsi="宋体"/>
                <w:sz w:val="18"/>
                <w:szCs w:val="18"/>
              </w:rPr>
            </w:pPr>
            <w:r>
              <w:rPr>
                <w:rFonts w:hint="eastAsia" w:ascii="宋体" w:hAnsi="宋体"/>
                <w:sz w:val="18"/>
                <w:szCs w:val="18"/>
              </w:rPr>
              <w:t>重点：</w:t>
            </w:r>
            <w:r>
              <w:rPr>
                <w:rFonts w:ascii="宋体" w:hAnsi="宋体"/>
                <w:sz w:val="18"/>
                <w:szCs w:val="18"/>
              </w:rPr>
              <w:t xml:space="preserve"> </w:t>
            </w:r>
            <w:r>
              <w:rPr>
                <w:rFonts w:hint="eastAsia" w:ascii="宋体" w:hAnsi="宋体"/>
                <w:sz w:val="18"/>
                <w:szCs w:val="18"/>
              </w:rPr>
              <w:t>绝缘处理和固化是能耗关键环节。建议：</w:t>
            </w:r>
            <w:r>
              <w:rPr>
                <w:rFonts w:ascii="宋体" w:hAnsi="宋体"/>
                <w:sz w:val="18"/>
                <w:szCs w:val="18"/>
              </w:rPr>
              <w:t xml:space="preserve"> </w:t>
            </w:r>
            <w:r>
              <w:rPr>
                <w:rFonts w:hint="eastAsia" w:ascii="宋体" w:hAnsi="宋体"/>
                <w:sz w:val="18"/>
                <w:szCs w:val="18"/>
              </w:rPr>
              <w:t>安装分表计量关键设备的电耗；对使用</w:t>
            </w:r>
            <w:r>
              <w:rPr>
                <w:rFonts w:ascii="宋体" w:hAnsi="宋体"/>
                <w:sz w:val="18"/>
                <w:szCs w:val="18"/>
              </w:rPr>
              <w:t>SF</w:t>
            </w:r>
            <w:r>
              <w:rPr>
                <w:rFonts w:ascii="MS Gothic" w:hAnsi="MS Gothic" w:cs="MS Gothic"/>
                <w:sz w:val="18"/>
                <w:szCs w:val="18"/>
              </w:rPr>
              <w:t>₆</w:t>
            </w:r>
            <w:r>
              <w:rPr>
                <w:rFonts w:hint="eastAsia" w:ascii="宋体" w:hAnsi="宋体"/>
                <w:sz w:val="18"/>
                <w:szCs w:val="18"/>
              </w:rPr>
              <w:t>的设备进行泄漏检测和回收。</w:t>
            </w:r>
          </w:p>
        </w:tc>
      </w:tr>
      <w:tr w14:paraId="6DB4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pct"/>
            <w:tcBorders>
              <w:top w:val="single" w:color="auto" w:sz="4" w:space="0"/>
              <w:left w:val="single" w:color="auto" w:sz="4" w:space="0"/>
              <w:bottom w:val="single" w:color="auto" w:sz="4" w:space="0"/>
              <w:right w:val="single" w:color="auto" w:sz="4" w:space="0"/>
            </w:tcBorders>
            <w:vAlign w:val="center"/>
          </w:tcPr>
          <w:p w14:paraId="39E7F82D">
            <w:pPr>
              <w:adjustRightInd/>
              <w:spacing w:line="240" w:lineRule="auto"/>
              <w:jc w:val="center"/>
              <w:rPr>
                <w:rFonts w:ascii="宋体" w:hAnsi="宋体"/>
                <w:sz w:val="18"/>
                <w:szCs w:val="18"/>
              </w:rPr>
            </w:pPr>
            <w:r>
              <w:rPr>
                <w:rFonts w:hint="eastAsia" w:ascii="宋体" w:hAnsi="宋体"/>
                <w:sz w:val="18"/>
                <w:szCs w:val="18"/>
              </w:rPr>
              <w:t>运输配送</w:t>
            </w:r>
          </w:p>
        </w:tc>
        <w:tc>
          <w:tcPr>
            <w:tcW w:w="1459" w:type="pct"/>
            <w:tcBorders>
              <w:top w:val="single" w:color="auto" w:sz="4" w:space="0"/>
              <w:left w:val="single" w:color="auto" w:sz="4" w:space="0"/>
              <w:bottom w:val="single" w:color="auto" w:sz="4" w:space="0"/>
              <w:right w:val="single" w:color="auto" w:sz="4" w:space="0"/>
            </w:tcBorders>
            <w:vAlign w:val="center"/>
          </w:tcPr>
          <w:p w14:paraId="314D7317">
            <w:pPr>
              <w:adjustRightInd/>
              <w:spacing w:line="240" w:lineRule="auto"/>
              <w:jc w:val="center"/>
              <w:rPr>
                <w:rFonts w:ascii="宋体" w:hAnsi="宋体"/>
                <w:sz w:val="18"/>
                <w:szCs w:val="18"/>
              </w:rPr>
            </w:pPr>
            <w:r>
              <w:rPr>
                <w:rFonts w:hint="eastAsia" w:ascii="宋体" w:hAnsi="宋体"/>
                <w:sz w:val="18"/>
                <w:szCs w:val="18"/>
              </w:rPr>
              <w:t>原材料</w:t>
            </w:r>
            <w:r>
              <w:rPr>
                <w:rFonts w:ascii="宋体" w:hAnsi="宋体"/>
                <w:sz w:val="18"/>
                <w:szCs w:val="18"/>
              </w:rPr>
              <w:t xml:space="preserve"> inbound </w:t>
            </w:r>
            <w:r>
              <w:rPr>
                <w:rFonts w:hint="eastAsia" w:ascii="宋体" w:hAnsi="宋体"/>
                <w:sz w:val="18"/>
                <w:szCs w:val="18"/>
              </w:rPr>
              <w:t>物流、成品</w:t>
            </w:r>
            <w:r>
              <w:rPr>
                <w:rFonts w:ascii="宋体" w:hAnsi="宋体"/>
                <w:sz w:val="18"/>
                <w:szCs w:val="18"/>
              </w:rPr>
              <w:t xml:space="preserve"> outbound </w:t>
            </w:r>
            <w:r>
              <w:rPr>
                <w:rFonts w:hint="eastAsia" w:ascii="宋体" w:hAnsi="宋体"/>
                <w:sz w:val="18"/>
                <w:szCs w:val="18"/>
              </w:rPr>
              <w:t>物流</w:t>
            </w:r>
          </w:p>
        </w:tc>
        <w:tc>
          <w:tcPr>
            <w:tcW w:w="1250" w:type="pct"/>
            <w:tcBorders>
              <w:top w:val="single" w:color="auto" w:sz="4" w:space="0"/>
              <w:left w:val="single" w:color="auto" w:sz="4" w:space="0"/>
              <w:bottom w:val="single" w:color="auto" w:sz="4" w:space="0"/>
              <w:right w:val="single" w:color="auto" w:sz="4" w:space="0"/>
            </w:tcBorders>
            <w:vAlign w:val="center"/>
          </w:tcPr>
          <w:p w14:paraId="4BC29302">
            <w:pPr>
              <w:adjustRightInd/>
              <w:spacing w:line="240" w:lineRule="auto"/>
              <w:jc w:val="center"/>
              <w:rPr>
                <w:rFonts w:ascii="宋体" w:hAnsi="宋体"/>
                <w:sz w:val="18"/>
                <w:szCs w:val="18"/>
              </w:rPr>
            </w:pPr>
            <w:r>
              <w:rPr>
                <w:rFonts w:hint="eastAsia" w:ascii="宋体" w:hAnsi="宋体"/>
                <w:sz w:val="18"/>
                <w:szCs w:val="18"/>
              </w:rPr>
              <w:t>柴油</w:t>
            </w:r>
            <w:r>
              <w:rPr>
                <w:rFonts w:ascii="宋体" w:hAnsi="宋体"/>
                <w:sz w:val="18"/>
                <w:szCs w:val="18"/>
              </w:rPr>
              <w:t>/</w:t>
            </w:r>
            <w:r>
              <w:rPr>
                <w:rFonts w:hint="eastAsia" w:ascii="宋体" w:hAnsi="宋体"/>
                <w:sz w:val="18"/>
                <w:szCs w:val="18"/>
              </w:rPr>
              <w:t>汽油消耗（公路运输为主）</w:t>
            </w:r>
          </w:p>
        </w:tc>
        <w:tc>
          <w:tcPr>
            <w:tcW w:w="1250" w:type="pct"/>
            <w:tcBorders>
              <w:top w:val="single" w:color="auto" w:sz="4" w:space="0"/>
              <w:left w:val="single" w:color="auto" w:sz="4" w:space="0"/>
              <w:bottom w:val="single" w:color="auto" w:sz="4" w:space="0"/>
              <w:right w:val="single" w:color="auto" w:sz="4" w:space="0"/>
            </w:tcBorders>
            <w:vAlign w:val="center"/>
          </w:tcPr>
          <w:p w14:paraId="327E3C4C">
            <w:pPr>
              <w:adjustRightInd/>
              <w:spacing w:line="240" w:lineRule="auto"/>
              <w:jc w:val="center"/>
              <w:rPr>
                <w:rFonts w:ascii="宋体" w:hAnsi="宋体"/>
                <w:sz w:val="18"/>
                <w:szCs w:val="18"/>
              </w:rPr>
            </w:pPr>
            <w:r>
              <w:rPr>
                <w:rFonts w:hint="eastAsia" w:ascii="宋体" w:hAnsi="宋体"/>
                <w:sz w:val="18"/>
                <w:szCs w:val="18"/>
              </w:rPr>
              <w:t>重点：</w:t>
            </w:r>
            <w:r>
              <w:rPr>
                <w:rFonts w:ascii="宋体" w:hAnsi="宋体"/>
                <w:sz w:val="18"/>
                <w:szCs w:val="18"/>
              </w:rPr>
              <w:t xml:space="preserve"> </w:t>
            </w:r>
            <w:r>
              <w:rPr>
                <w:rFonts w:hint="eastAsia" w:ascii="宋体" w:hAnsi="宋体"/>
                <w:sz w:val="18"/>
                <w:szCs w:val="18"/>
              </w:rPr>
              <w:t>重型、远距离运输的原材料（如进口硅钢片）。建议：</w:t>
            </w:r>
            <w:r>
              <w:rPr>
                <w:rFonts w:ascii="宋体" w:hAnsi="宋体"/>
                <w:sz w:val="18"/>
                <w:szCs w:val="18"/>
              </w:rPr>
              <w:t xml:space="preserve"> </w:t>
            </w:r>
            <w:r>
              <w:rPr>
                <w:rFonts w:hint="eastAsia" w:ascii="宋体" w:hAnsi="宋体"/>
                <w:sz w:val="18"/>
                <w:szCs w:val="18"/>
              </w:rPr>
              <w:t>收集准确的运输距离、方式和载重率数据。</w:t>
            </w:r>
          </w:p>
        </w:tc>
      </w:tr>
      <w:tr w14:paraId="75C51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pct"/>
            <w:tcBorders>
              <w:top w:val="single" w:color="auto" w:sz="4" w:space="0"/>
              <w:left w:val="single" w:color="auto" w:sz="4" w:space="0"/>
              <w:bottom w:val="single" w:color="auto" w:sz="4" w:space="0"/>
              <w:right w:val="single" w:color="auto" w:sz="4" w:space="0"/>
            </w:tcBorders>
            <w:vAlign w:val="center"/>
          </w:tcPr>
          <w:p w14:paraId="7D91FD3A">
            <w:pPr>
              <w:adjustRightInd/>
              <w:spacing w:line="240" w:lineRule="auto"/>
              <w:jc w:val="center"/>
              <w:rPr>
                <w:rFonts w:ascii="宋体" w:hAnsi="宋体"/>
                <w:sz w:val="18"/>
                <w:szCs w:val="18"/>
              </w:rPr>
            </w:pPr>
            <w:r>
              <w:rPr>
                <w:rFonts w:hint="eastAsia" w:ascii="宋体" w:hAnsi="宋体"/>
                <w:sz w:val="18"/>
                <w:szCs w:val="18"/>
              </w:rPr>
              <w:t>使用阶段</w:t>
            </w:r>
          </w:p>
        </w:tc>
        <w:tc>
          <w:tcPr>
            <w:tcW w:w="1459" w:type="pct"/>
            <w:tcBorders>
              <w:top w:val="single" w:color="auto" w:sz="4" w:space="0"/>
              <w:left w:val="single" w:color="auto" w:sz="4" w:space="0"/>
              <w:bottom w:val="single" w:color="auto" w:sz="4" w:space="0"/>
              <w:right w:val="single" w:color="auto" w:sz="4" w:space="0"/>
            </w:tcBorders>
            <w:vAlign w:val="center"/>
          </w:tcPr>
          <w:p w14:paraId="595A7B28">
            <w:pPr>
              <w:adjustRightInd/>
              <w:spacing w:line="240" w:lineRule="auto"/>
              <w:jc w:val="center"/>
              <w:rPr>
                <w:rFonts w:ascii="宋体" w:hAnsi="宋体"/>
                <w:sz w:val="18"/>
                <w:szCs w:val="18"/>
              </w:rPr>
            </w:pPr>
            <w:r>
              <w:rPr>
                <w:rFonts w:hint="eastAsia" w:ascii="宋体" w:hAnsi="宋体"/>
                <w:sz w:val="18"/>
                <w:szCs w:val="18"/>
              </w:rPr>
              <w:t>电能传输与计量</w:t>
            </w:r>
          </w:p>
        </w:tc>
        <w:tc>
          <w:tcPr>
            <w:tcW w:w="1250" w:type="pct"/>
            <w:tcBorders>
              <w:top w:val="single" w:color="auto" w:sz="4" w:space="0"/>
              <w:left w:val="single" w:color="auto" w:sz="4" w:space="0"/>
              <w:bottom w:val="single" w:color="auto" w:sz="4" w:space="0"/>
              <w:right w:val="single" w:color="auto" w:sz="4" w:space="0"/>
            </w:tcBorders>
            <w:vAlign w:val="center"/>
          </w:tcPr>
          <w:p w14:paraId="7BB7A4A1">
            <w:pPr>
              <w:adjustRightInd/>
              <w:spacing w:line="240" w:lineRule="auto"/>
              <w:jc w:val="center"/>
              <w:rPr>
                <w:rFonts w:ascii="宋体" w:hAnsi="宋体"/>
                <w:sz w:val="18"/>
                <w:szCs w:val="18"/>
              </w:rPr>
            </w:pPr>
            <w:r>
              <w:rPr>
                <w:rFonts w:hint="eastAsia" w:ascii="宋体" w:hAnsi="宋体"/>
                <w:sz w:val="18"/>
                <w:szCs w:val="18"/>
              </w:rPr>
              <w:t>运行损耗（空载损耗、负载损耗）引起的间接发电排放</w:t>
            </w:r>
          </w:p>
        </w:tc>
        <w:tc>
          <w:tcPr>
            <w:tcW w:w="1250" w:type="pct"/>
            <w:tcBorders>
              <w:top w:val="single" w:color="auto" w:sz="4" w:space="0"/>
              <w:left w:val="single" w:color="auto" w:sz="4" w:space="0"/>
              <w:bottom w:val="single" w:color="auto" w:sz="4" w:space="0"/>
              <w:right w:val="single" w:color="auto" w:sz="4" w:space="0"/>
            </w:tcBorders>
            <w:vAlign w:val="center"/>
          </w:tcPr>
          <w:p w14:paraId="7CB6E36F">
            <w:pPr>
              <w:adjustRightInd/>
              <w:spacing w:line="240" w:lineRule="auto"/>
              <w:jc w:val="center"/>
              <w:rPr>
                <w:rFonts w:ascii="宋体" w:hAnsi="宋体"/>
                <w:sz w:val="18"/>
                <w:szCs w:val="18"/>
              </w:rPr>
            </w:pPr>
            <w:r>
              <w:rPr>
                <w:rFonts w:hint="eastAsia" w:ascii="宋体" w:hAnsi="宋体"/>
                <w:sz w:val="18"/>
                <w:szCs w:val="18"/>
              </w:rPr>
              <w:t>重点：</w:t>
            </w:r>
            <w:r>
              <w:rPr>
                <w:rFonts w:ascii="宋体" w:hAnsi="宋体"/>
                <w:sz w:val="18"/>
                <w:szCs w:val="18"/>
              </w:rPr>
              <w:t xml:space="preserve"> </w:t>
            </w:r>
            <w:r>
              <w:rPr>
                <w:rFonts w:hint="eastAsia" w:ascii="宋体" w:hAnsi="宋体"/>
                <w:sz w:val="18"/>
                <w:szCs w:val="18"/>
              </w:rPr>
              <w:t>高能耗用户的长期运行排放可能显著。建议：</w:t>
            </w:r>
            <w:r>
              <w:rPr>
                <w:rFonts w:ascii="宋体" w:hAnsi="宋体"/>
                <w:sz w:val="18"/>
                <w:szCs w:val="18"/>
              </w:rPr>
              <w:t xml:space="preserve"> </w:t>
            </w:r>
            <w:r>
              <w:rPr>
                <w:rFonts w:hint="eastAsia" w:ascii="宋体" w:hAnsi="宋体"/>
                <w:sz w:val="18"/>
                <w:szCs w:val="18"/>
              </w:rPr>
              <w:t>若核算，需明确假设的运行年限、负载率和电网排放因子。</w:t>
            </w:r>
          </w:p>
        </w:tc>
      </w:tr>
      <w:tr w14:paraId="41E4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pct"/>
            <w:tcBorders>
              <w:top w:val="single" w:color="auto" w:sz="4" w:space="0"/>
              <w:left w:val="single" w:color="auto" w:sz="4" w:space="0"/>
              <w:bottom w:val="single" w:color="auto" w:sz="4" w:space="0"/>
              <w:right w:val="single" w:color="auto" w:sz="4" w:space="0"/>
            </w:tcBorders>
            <w:vAlign w:val="center"/>
          </w:tcPr>
          <w:p w14:paraId="33561AA2">
            <w:pPr>
              <w:adjustRightInd/>
              <w:spacing w:line="240" w:lineRule="auto"/>
              <w:jc w:val="center"/>
              <w:rPr>
                <w:rFonts w:ascii="宋体" w:hAnsi="宋体"/>
                <w:sz w:val="18"/>
                <w:szCs w:val="18"/>
              </w:rPr>
            </w:pPr>
            <w:r>
              <w:rPr>
                <w:rFonts w:hint="eastAsia" w:ascii="宋体" w:hAnsi="宋体"/>
                <w:sz w:val="18"/>
                <w:szCs w:val="18"/>
              </w:rPr>
              <w:t>生命末期</w:t>
            </w:r>
          </w:p>
        </w:tc>
        <w:tc>
          <w:tcPr>
            <w:tcW w:w="1459" w:type="pct"/>
            <w:tcBorders>
              <w:top w:val="single" w:color="auto" w:sz="4" w:space="0"/>
              <w:left w:val="single" w:color="auto" w:sz="4" w:space="0"/>
              <w:bottom w:val="single" w:color="auto" w:sz="4" w:space="0"/>
              <w:right w:val="single" w:color="auto" w:sz="4" w:space="0"/>
            </w:tcBorders>
            <w:vAlign w:val="center"/>
          </w:tcPr>
          <w:p w14:paraId="29E5DCE3">
            <w:pPr>
              <w:adjustRightInd/>
              <w:spacing w:line="240" w:lineRule="auto"/>
              <w:jc w:val="center"/>
              <w:rPr>
                <w:rFonts w:ascii="宋体" w:hAnsi="宋体"/>
                <w:sz w:val="18"/>
                <w:szCs w:val="18"/>
              </w:rPr>
            </w:pPr>
            <w:r>
              <w:rPr>
                <w:rFonts w:hint="eastAsia" w:ascii="宋体" w:hAnsi="宋体"/>
                <w:sz w:val="18"/>
                <w:szCs w:val="18"/>
              </w:rPr>
              <w:t>拆解、回收、填埋、焚烧</w:t>
            </w:r>
          </w:p>
        </w:tc>
        <w:tc>
          <w:tcPr>
            <w:tcW w:w="1250" w:type="pct"/>
            <w:tcBorders>
              <w:top w:val="single" w:color="auto" w:sz="4" w:space="0"/>
              <w:left w:val="single" w:color="auto" w:sz="4" w:space="0"/>
              <w:bottom w:val="single" w:color="auto" w:sz="4" w:space="0"/>
              <w:right w:val="single" w:color="auto" w:sz="4" w:space="0"/>
            </w:tcBorders>
            <w:vAlign w:val="center"/>
          </w:tcPr>
          <w:p w14:paraId="18DBEC2C">
            <w:pPr>
              <w:adjustRightInd/>
              <w:spacing w:line="240" w:lineRule="auto"/>
              <w:jc w:val="center"/>
              <w:rPr>
                <w:rFonts w:ascii="宋体" w:hAnsi="宋体"/>
                <w:sz w:val="18"/>
                <w:szCs w:val="18"/>
              </w:rPr>
            </w:pPr>
            <w:r>
              <w:rPr>
                <w:rFonts w:hint="eastAsia" w:ascii="宋体" w:hAnsi="宋体"/>
                <w:sz w:val="18"/>
                <w:szCs w:val="18"/>
              </w:rPr>
              <w:t>回收过程的能耗与收益、填埋产生的甲烷</w:t>
            </w:r>
          </w:p>
        </w:tc>
        <w:tc>
          <w:tcPr>
            <w:tcW w:w="1250" w:type="pct"/>
            <w:tcBorders>
              <w:top w:val="single" w:color="auto" w:sz="4" w:space="0"/>
              <w:left w:val="single" w:color="auto" w:sz="4" w:space="0"/>
              <w:bottom w:val="single" w:color="auto" w:sz="4" w:space="0"/>
              <w:right w:val="single" w:color="auto" w:sz="4" w:space="0"/>
            </w:tcBorders>
            <w:vAlign w:val="center"/>
          </w:tcPr>
          <w:p w14:paraId="17A0ABA5">
            <w:pPr>
              <w:adjustRightInd/>
              <w:spacing w:line="240" w:lineRule="auto"/>
              <w:jc w:val="center"/>
              <w:rPr>
                <w:rFonts w:ascii="宋体" w:hAnsi="宋体"/>
                <w:sz w:val="18"/>
                <w:szCs w:val="18"/>
              </w:rPr>
            </w:pPr>
            <w:r>
              <w:rPr>
                <w:rFonts w:hint="eastAsia" w:ascii="宋体" w:hAnsi="宋体"/>
                <w:sz w:val="18"/>
                <w:szCs w:val="18"/>
              </w:rPr>
              <w:t>重点：</w:t>
            </w:r>
            <w:r>
              <w:rPr>
                <w:rFonts w:ascii="宋体" w:hAnsi="宋体"/>
                <w:sz w:val="18"/>
                <w:szCs w:val="18"/>
              </w:rPr>
              <w:t xml:space="preserve"> </w:t>
            </w:r>
            <w:r>
              <w:rPr>
                <w:rFonts w:hint="eastAsia" w:ascii="宋体" w:hAnsi="宋体"/>
                <w:sz w:val="18"/>
                <w:szCs w:val="18"/>
              </w:rPr>
              <w:t>金属回收可带来显著的碳信用（清除）。建议：</w:t>
            </w:r>
            <w:r>
              <w:rPr>
                <w:rFonts w:ascii="宋体" w:hAnsi="宋体"/>
                <w:sz w:val="18"/>
                <w:szCs w:val="18"/>
              </w:rPr>
              <w:t xml:space="preserve"> </w:t>
            </w:r>
            <w:r>
              <w:rPr>
                <w:rFonts w:hint="eastAsia" w:ascii="宋体" w:hAnsi="宋体"/>
                <w:sz w:val="18"/>
                <w:szCs w:val="18"/>
              </w:rPr>
              <w:t>采用行业平均回收率模型进行计算。</w:t>
            </w:r>
          </w:p>
        </w:tc>
      </w:tr>
    </w:tbl>
    <w:p w14:paraId="2808F904">
      <w:pPr>
        <w:pStyle w:val="56"/>
        <w:ind w:firstLine="360"/>
        <w:rPr>
          <w:rFonts w:ascii="宋体" w:hAnsi="宋体"/>
          <w:sz w:val="18"/>
          <w:szCs w:val="18"/>
        </w:rPr>
      </w:pPr>
    </w:p>
    <w:p w14:paraId="641EF115">
      <w:pPr>
        <w:pStyle w:val="56"/>
        <w:ind w:firstLine="360"/>
        <w:rPr>
          <w:rFonts w:ascii="宋体" w:hAnsi="宋体"/>
          <w:sz w:val="18"/>
          <w:szCs w:val="18"/>
        </w:rPr>
      </w:pPr>
    </w:p>
    <w:p w14:paraId="0761169A">
      <w:pPr>
        <w:pStyle w:val="56"/>
        <w:ind w:firstLine="420"/>
        <w:sectPr>
          <w:pgSz w:w="11906" w:h="16838"/>
          <w:pgMar w:top="1928" w:right="1134" w:bottom="1134" w:left="1134" w:header="1418" w:footer="1134" w:gutter="284"/>
          <w:cols w:space="425" w:num="1"/>
          <w:formProt w:val="0"/>
          <w:docGrid w:linePitch="312" w:charSpace="0"/>
        </w:sectPr>
      </w:pPr>
    </w:p>
    <w:p w14:paraId="7FB792F2">
      <w:pPr>
        <w:pStyle w:val="198"/>
        <w:rPr>
          <w:vanish w:val="0"/>
        </w:rPr>
      </w:pPr>
    </w:p>
    <w:p w14:paraId="148C8B59">
      <w:pPr>
        <w:pStyle w:val="199"/>
        <w:rPr>
          <w:vanish w:val="0"/>
        </w:rPr>
      </w:pPr>
    </w:p>
    <w:p w14:paraId="2D924420">
      <w:pPr>
        <w:pStyle w:val="76"/>
        <w:spacing w:after="120"/>
      </w:pPr>
      <w:r>
        <w:br w:type="textWrapping"/>
      </w:r>
      <w:r>
        <w:rPr>
          <w:rFonts w:hint="eastAsia"/>
        </w:rPr>
        <w:t>（资料性）</w:t>
      </w:r>
      <w:r>
        <w:br w:type="textWrapping"/>
      </w:r>
      <w:r>
        <w:rPr>
          <w:rFonts w:hint="eastAsia"/>
        </w:rPr>
        <w:t>常见数据来源推荐</w:t>
      </w:r>
    </w:p>
    <w:p w14:paraId="7909045A">
      <w:pPr>
        <w:pStyle w:val="56"/>
        <w:ind w:firstLine="420"/>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6146"/>
      </w:tblGrid>
      <w:tr w14:paraId="29A5A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3CFD8CBD">
            <w:pPr>
              <w:adjustRightInd/>
              <w:spacing w:line="240" w:lineRule="auto"/>
              <w:jc w:val="center"/>
              <w:rPr>
                <w:rFonts w:ascii="宋体" w:hAnsi="宋体"/>
                <w:sz w:val="18"/>
                <w:szCs w:val="18"/>
              </w:rPr>
            </w:pPr>
            <w:r>
              <w:rPr>
                <w:rFonts w:hint="eastAsia" w:ascii="宋体" w:hAnsi="宋体"/>
                <w:sz w:val="18"/>
                <w:szCs w:val="18"/>
              </w:rPr>
              <w:t>数据类型</w:t>
            </w:r>
          </w:p>
        </w:tc>
        <w:tc>
          <w:tcPr>
            <w:tcW w:w="6146" w:type="dxa"/>
            <w:tcBorders>
              <w:top w:val="single" w:color="auto" w:sz="4" w:space="0"/>
              <w:left w:val="single" w:color="auto" w:sz="4" w:space="0"/>
              <w:bottom w:val="single" w:color="auto" w:sz="4" w:space="0"/>
              <w:right w:val="single" w:color="auto" w:sz="4" w:space="0"/>
            </w:tcBorders>
          </w:tcPr>
          <w:p w14:paraId="3179B4C3">
            <w:pPr>
              <w:adjustRightInd/>
              <w:spacing w:line="240" w:lineRule="auto"/>
              <w:jc w:val="center"/>
              <w:rPr>
                <w:rFonts w:ascii="宋体" w:hAnsi="宋体"/>
                <w:sz w:val="18"/>
                <w:szCs w:val="18"/>
              </w:rPr>
            </w:pPr>
            <w:r>
              <w:rPr>
                <w:rFonts w:hint="eastAsia" w:ascii="宋体" w:hAnsi="宋体"/>
                <w:sz w:val="18"/>
                <w:szCs w:val="18"/>
              </w:rPr>
              <w:t>推荐数据来源（优先级从高到低）</w:t>
            </w:r>
          </w:p>
        </w:tc>
      </w:tr>
      <w:tr w14:paraId="611BD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5806E9AE">
            <w:pPr>
              <w:adjustRightInd/>
              <w:spacing w:line="240" w:lineRule="auto"/>
              <w:jc w:val="center"/>
              <w:rPr>
                <w:rFonts w:ascii="宋体" w:hAnsi="宋体"/>
                <w:sz w:val="18"/>
                <w:szCs w:val="18"/>
              </w:rPr>
            </w:pPr>
            <w:r>
              <w:rPr>
                <w:rFonts w:hint="eastAsia" w:ascii="宋体" w:hAnsi="宋体"/>
                <w:sz w:val="18"/>
                <w:szCs w:val="18"/>
              </w:rPr>
              <w:t>原材料排放因子</w:t>
            </w:r>
          </w:p>
        </w:tc>
        <w:tc>
          <w:tcPr>
            <w:tcW w:w="6146" w:type="dxa"/>
            <w:tcBorders>
              <w:top w:val="single" w:color="auto" w:sz="4" w:space="0"/>
              <w:left w:val="single" w:color="auto" w:sz="4" w:space="0"/>
              <w:bottom w:val="single" w:color="auto" w:sz="4" w:space="0"/>
              <w:right w:val="single" w:color="auto" w:sz="4" w:space="0"/>
            </w:tcBorders>
          </w:tcPr>
          <w:p w14:paraId="4AA7238E">
            <w:pPr>
              <w:adjustRightInd/>
              <w:spacing w:line="240" w:lineRule="auto"/>
              <w:jc w:val="left"/>
              <w:rPr>
                <w:rFonts w:ascii="宋体" w:hAnsi="宋体"/>
                <w:sz w:val="18"/>
                <w:szCs w:val="18"/>
              </w:rPr>
            </w:pPr>
            <w:r>
              <w:rPr>
                <w:rFonts w:ascii="宋体" w:hAnsi="宋体"/>
                <w:sz w:val="18"/>
                <w:szCs w:val="18"/>
              </w:rPr>
              <w:t xml:space="preserve">1. </w:t>
            </w:r>
            <w:r>
              <w:rPr>
                <w:rFonts w:hint="eastAsia" w:ascii="宋体" w:hAnsi="宋体"/>
                <w:sz w:val="18"/>
                <w:szCs w:val="18"/>
              </w:rPr>
              <w:t>供应商提供的环境产品声明或碳足迹报告</w:t>
            </w:r>
          </w:p>
          <w:p w14:paraId="650F39DD">
            <w:pPr>
              <w:adjustRightInd/>
              <w:spacing w:line="240" w:lineRule="auto"/>
              <w:jc w:val="left"/>
              <w:rPr>
                <w:rFonts w:ascii="宋体" w:hAnsi="宋体"/>
                <w:sz w:val="18"/>
                <w:szCs w:val="18"/>
              </w:rPr>
            </w:pPr>
            <w:r>
              <w:rPr>
                <w:rFonts w:ascii="宋体" w:hAnsi="宋体"/>
                <w:sz w:val="18"/>
                <w:szCs w:val="18"/>
              </w:rPr>
              <w:t xml:space="preserve">2. </w:t>
            </w:r>
            <w:r>
              <w:rPr>
                <w:rFonts w:hint="eastAsia" w:ascii="宋体" w:hAnsi="宋体"/>
                <w:sz w:val="18"/>
                <w:szCs w:val="18"/>
              </w:rPr>
              <w:t>中国产品全生命周期温室气体排放系数库</w:t>
            </w:r>
          </w:p>
          <w:p w14:paraId="53159B66">
            <w:pPr>
              <w:adjustRightInd/>
              <w:spacing w:line="240" w:lineRule="auto"/>
              <w:jc w:val="left"/>
              <w:rPr>
                <w:rFonts w:ascii="宋体" w:hAnsi="宋体"/>
                <w:sz w:val="18"/>
                <w:szCs w:val="18"/>
              </w:rPr>
            </w:pPr>
            <w:r>
              <w:rPr>
                <w:rFonts w:ascii="宋体" w:hAnsi="宋体"/>
                <w:sz w:val="18"/>
                <w:szCs w:val="18"/>
              </w:rPr>
              <w:t xml:space="preserve">3. Ecoinvent, GaBi </w:t>
            </w:r>
            <w:r>
              <w:rPr>
                <w:rFonts w:hint="eastAsia" w:ascii="宋体" w:hAnsi="宋体"/>
                <w:sz w:val="18"/>
                <w:szCs w:val="18"/>
              </w:rPr>
              <w:t>等国际数据库</w:t>
            </w:r>
          </w:p>
          <w:p w14:paraId="40B32F2F">
            <w:pPr>
              <w:adjustRightInd/>
              <w:spacing w:line="240" w:lineRule="auto"/>
              <w:jc w:val="left"/>
              <w:rPr>
                <w:rFonts w:ascii="宋体" w:hAnsi="宋体"/>
                <w:sz w:val="18"/>
                <w:szCs w:val="18"/>
              </w:rPr>
            </w:pPr>
            <w:r>
              <w:rPr>
                <w:rFonts w:ascii="宋体" w:hAnsi="宋体"/>
                <w:sz w:val="18"/>
                <w:szCs w:val="18"/>
              </w:rPr>
              <w:t>4. IPCC</w:t>
            </w:r>
            <w:r>
              <w:rPr>
                <w:rFonts w:hint="eastAsia" w:ascii="宋体" w:hAnsi="宋体"/>
                <w:sz w:val="18"/>
                <w:szCs w:val="18"/>
              </w:rPr>
              <w:t>，各国温室气体清单缺省值</w:t>
            </w:r>
          </w:p>
        </w:tc>
      </w:tr>
      <w:tr w14:paraId="3DE36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DC3D74A">
            <w:pPr>
              <w:adjustRightInd/>
              <w:spacing w:line="240" w:lineRule="auto"/>
              <w:jc w:val="center"/>
              <w:rPr>
                <w:rFonts w:ascii="宋体" w:hAnsi="宋体"/>
                <w:sz w:val="18"/>
                <w:szCs w:val="18"/>
              </w:rPr>
            </w:pPr>
            <w:bookmarkStart w:id="44" w:name="OLE_LINK15"/>
            <w:r>
              <w:rPr>
                <w:rFonts w:hint="eastAsia" w:ascii="宋体" w:hAnsi="宋体"/>
                <w:sz w:val="18"/>
                <w:szCs w:val="18"/>
              </w:rPr>
              <w:t>能源排放因子</w:t>
            </w:r>
            <w:bookmarkEnd w:id="44"/>
          </w:p>
        </w:tc>
        <w:tc>
          <w:tcPr>
            <w:tcW w:w="6146" w:type="dxa"/>
            <w:tcBorders>
              <w:top w:val="single" w:color="auto" w:sz="4" w:space="0"/>
              <w:left w:val="single" w:color="auto" w:sz="4" w:space="0"/>
              <w:bottom w:val="single" w:color="auto" w:sz="4" w:space="0"/>
              <w:right w:val="single" w:color="auto" w:sz="4" w:space="0"/>
            </w:tcBorders>
          </w:tcPr>
          <w:p w14:paraId="2F37A8E2">
            <w:pPr>
              <w:adjustRightInd/>
              <w:spacing w:line="240" w:lineRule="auto"/>
              <w:jc w:val="left"/>
              <w:rPr>
                <w:rFonts w:ascii="宋体" w:hAnsi="宋体"/>
                <w:sz w:val="18"/>
                <w:szCs w:val="18"/>
              </w:rPr>
            </w:pPr>
            <w:r>
              <w:rPr>
                <w:rFonts w:ascii="宋体" w:hAnsi="宋体"/>
                <w:sz w:val="18"/>
                <w:szCs w:val="18"/>
              </w:rPr>
              <w:t xml:space="preserve">1. </w:t>
            </w:r>
            <w:r>
              <w:rPr>
                <w:rFonts w:hint="eastAsia" w:ascii="宋体" w:hAnsi="宋体"/>
                <w:sz w:val="18"/>
                <w:szCs w:val="18"/>
              </w:rPr>
              <w:t>国家主管部门发布的最新区域电网平均排放因子</w:t>
            </w:r>
          </w:p>
          <w:p w14:paraId="34DF3E74">
            <w:pPr>
              <w:adjustRightInd/>
              <w:spacing w:line="240" w:lineRule="auto"/>
              <w:jc w:val="left"/>
              <w:rPr>
                <w:rFonts w:ascii="宋体" w:hAnsi="宋体"/>
                <w:sz w:val="18"/>
                <w:szCs w:val="18"/>
              </w:rPr>
            </w:pPr>
            <w:r>
              <w:rPr>
                <w:rFonts w:ascii="宋体" w:hAnsi="宋体"/>
                <w:sz w:val="18"/>
                <w:szCs w:val="18"/>
              </w:rPr>
              <w:t xml:space="preserve">2. </w:t>
            </w:r>
            <w:r>
              <w:rPr>
                <w:rFonts w:hint="eastAsia" w:ascii="宋体" w:hAnsi="宋体"/>
                <w:sz w:val="18"/>
                <w:szCs w:val="18"/>
              </w:rPr>
              <w:t>省级电网平均排放因子</w:t>
            </w:r>
          </w:p>
          <w:p w14:paraId="34689A55">
            <w:pPr>
              <w:adjustRightInd/>
              <w:spacing w:line="240" w:lineRule="auto"/>
              <w:jc w:val="left"/>
              <w:rPr>
                <w:rFonts w:ascii="宋体" w:hAnsi="宋体"/>
                <w:sz w:val="18"/>
                <w:szCs w:val="18"/>
              </w:rPr>
            </w:pPr>
            <w:r>
              <w:rPr>
                <w:rFonts w:ascii="宋体" w:hAnsi="宋体"/>
                <w:sz w:val="18"/>
                <w:szCs w:val="18"/>
              </w:rPr>
              <w:t xml:space="preserve">3. IPCC </w:t>
            </w:r>
            <w:r>
              <w:rPr>
                <w:rFonts w:hint="eastAsia" w:ascii="宋体" w:hAnsi="宋体"/>
                <w:sz w:val="18"/>
                <w:szCs w:val="18"/>
              </w:rPr>
              <w:t>缺省值</w:t>
            </w:r>
          </w:p>
        </w:tc>
      </w:tr>
      <w:tr w14:paraId="6F70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EDEC0F6">
            <w:pPr>
              <w:adjustRightInd/>
              <w:spacing w:line="240" w:lineRule="auto"/>
              <w:jc w:val="center"/>
              <w:rPr>
                <w:rFonts w:ascii="宋体" w:hAnsi="宋体"/>
                <w:sz w:val="18"/>
                <w:szCs w:val="18"/>
              </w:rPr>
            </w:pPr>
            <w:r>
              <w:rPr>
                <w:rFonts w:hint="eastAsia" w:ascii="宋体" w:hAnsi="宋体"/>
                <w:sz w:val="18"/>
                <w:szCs w:val="18"/>
              </w:rPr>
              <w:t>运输排放因子</w:t>
            </w:r>
          </w:p>
        </w:tc>
        <w:tc>
          <w:tcPr>
            <w:tcW w:w="6146" w:type="dxa"/>
            <w:tcBorders>
              <w:top w:val="single" w:color="auto" w:sz="4" w:space="0"/>
              <w:left w:val="single" w:color="auto" w:sz="4" w:space="0"/>
              <w:bottom w:val="single" w:color="auto" w:sz="4" w:space="0"/>
              <w:right w:val="single" w:color="auto" w:sz="4" w:space="0"/>
            </w:tcBorders>
          </w:tcPr>
          <w:p w14:paraId="2947725F">
            <w:pPr>
              <w:adjustRightInd/>
              <w:spacing w:line="240" w:lineRule="auto"/>
              <w:jc w:val="left"/>
              <w:rPr>
                <w:rFonts w:ascii="宋体" w:hAnsi="宋体"/>
                <w:sz w:val="18"/>
                <w:szCs w:val="18"/>
              </w:rPr>
            </w:pPr>
            <w:r>
              <w:rPr>
                <w:rFonts w:ascii="宋体" w:hAnsi="宋体"/>
                <w:sz w:val="18"/>
                <w:szCs w:val="18"/>
              </w:rPr>
              <w:t xml:space="preserve">1. </w:t>
            </w:r>
            <w:r>
              <w:rPr>
                <w:rFonts w:hint="eastAsia" w:ascii="宋体" w:hAnsi="宋体"/>
                <w:sz w:val="18"/>
                <w:szCs w:val="18"/>
              </w:rPr>
              <w:t>国家主管部门发布的《道路机动车污染物排放系数手册》等</w:t>
            </w:r>
          </w:p>
          <w:p w14:paraId="2A2BCB59">
            <w:pPr>
              <w:adjustRightInd/>
              <w:spacing w:line="240" w:lineRule="auto"/>
              <w:jc w:val="left"/>
              <w:rPr>
                <w:rFonts w:ascii="宋体" w:hAnsi="宋体"/>
                <w:sz w:val="18"/>
                <w:szCs w:val="18"/>
              </w:rPr>
            </w:pPr>
            <w:r>
              <w:rPr>
                <w:rFonts w:ascii="宋体" w:hAnsi="宋体"/>
                <w:sz w:val="18"/>
                <w:szCs w:val="18"/>
              </w:rPr>
              <w:t xml:space="preserve">2. </w:t>
            </w:r>
            <w:r>
              <w:rPr>
                <w:rFonts w:hint="eastAsia" w:ascii="宋体" w:hAnsi="宋体"/>
                <w:sz w:val="18"/>
                <w:szCs w:val="18"/>
              </w:rPr>
              <w:t>国际公认数据库（如</w:t>
            </w:r>
            <w:r>
              <w:rPr>
                <w:rFonts w:ascii="宋体" w:hAnsi="宋体"/>
                <w:sz w:val="18"/>
                <w:szCs w:val="18"/>
              </w:rPr>
              <w:t>Ecoinvent</w:t>
            </w:r>
            <w:r>
              <w:rPr>
                <w:rFonts w:hint="eastAsia" w:ascii="宋体" w:hAnsi="宋体"/>
                <w:sz w:val="18"/>
                <w:szCs w:val="18"/>
              </w:rPr>
              <w:t>）中的运输模型</w:t>
            </w:r>
          </w:p>
          <w:p w14:paraId="65731A5C">
            <w:pPr>
              <w:adjustRightInd/>
              <w:spacing w:line="240" w:lineRule="auto"/>
              <w:jc w:val="left"/>
              <w:rPr>
                <w:rFonts w:ascii="宋体" w:hAnsi="宋体"/>
                <w:sz w:val="18"/>
                <w:szCs w:val="18"/>
              </w:rPr>
            </w:pPr>
            <w:r>
              <w:rPr>
                <w:rFonts w:ascii="宋体" w:hAnsi="宋体"/>
                <w:sz w:val="18"/>
                <w:szCs w:val="18"/>
              </w:rPr>
              <w:t xml:space="preserve">3. IPCC </w:t>
            </w:r>
            <w:r>
              <w:rPr>
                <w:rFonts w:hint="eastAsia" w:ascii="宋体" w:hAnsi="宋体"/>
                <w:sz w:val="18"/>
                <w:szCs w:val="18"/>
              </w:rPr>
              <w:t>缺省值</w:t>
            </w:r>
          </w:p>
        </w:tc>
      </w:tr>
      <w:tr w14:paraId="06845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6C28765B">
            <w:pPr>
              <w:adjustRightInd/>
              <w:spacing w:line="240" w:lineRule="auto"/>
              <w:jc w:val="center"/>
              <w:rPr>
                <w:rFonts w:ascii="宋体" w:hAnsi="宋体"/>
                <w:sz w:val="18"/>
                <w:szCs w:val="18"/>
              </w:rPr>
            </w:pPr>
            <w:r>
              <w:rPr>
                <w:rFonts w:hint="eastAsia" w:ascii="宋体" w:hAnsi="宋体"/>
                <w:sz w:val="18"/>
                <w:szCs w:val="18"/>
              </w:rPr>
              <w:t>废弃处理排放因子</w:t>
            </w:r>
          </w:p>
        </w:tc>
        <w:tc>
          <w:tcPr>
            <w:tcW w:w="6146" w:type="dxa"/>
            <w:tcBorders>
              <w:top w:val="single" w:color="auto" w:sz="4" w:space="0"/>
              <w:left w:val="single" w:color="auto" w:sz="4" w:space="0"/>
              <w:bottom w:val="single" w:color="auto" w:sz="4" w:space="0"/>
              <w:right w:val="single" w:color="auto" w:sz="4" w:space="0"/>
            </w:tcBorders>
          </w:tcPr>
          <w:p w14:paraId="4C44BAF9">
            <w:pPr>
              <w:adjustRightInd/>
              <w:spacing w:line="240" w:lineRule="auto"/>
              <w:jc w:val="left"/>
              <w:rPr>
                <w:rFonts w:ascii="宋体" w:hAnsi="宋体"/>
                <w:sz w:val="18"/>
                <w:szCs w:val="18"/>
              </w:rPr>
            </w:pPr>
            <w:r>
              <w:rPr>
                <w:rFonts w:ascii="宋体" w:hAnsi="宋体"/>
                <w:sz w:val="18"/>
                <w:szCs w:val="18"/>
              </w:rPr>
              <w:t xml:space="preserve">1. </w:t>
            </w:r>
            <w:r>
              <w:rPr>
                <w:rFonts w:hint="eastAsia" w:ascii="宋体" w:hAnsi="宋体"/>
                <w:sz w:val="18"/>
                <w:szCs w:val="18"/>
              </w:rPr>
              <w:t>国家废弃电器电子产品处理数据库</w:t>
            </w:r>
          </w:p>
          <w:p w14:paraId="1B764B99">
            <w:pPr>
              <w:adjustRightInd/>
              <w:spacing w:line="240" w:lineRule="auto"/>
              <w:jc w:val="left"/>
              <w:rPr>
                <w:rFonts w:ascii="宋体" w:hAnsi="宋体"/>
                <w:sz w:val="18"/>
                <w:szCs w:val="18"/>
              </w:rPr>
            </w:pPr>
            <w:r>
              <w:rPr>
                <w:rFonts w:ascii="宋体" w:hAnsi="宋体"/>
                <w:sz w:val="18"/>
                <w:szCs w:val="18"/>
              </w:rPr>
              <w:t xml:space="preserve">2. </w:t>
            </w:r>
            <w:r>
              <w:rPr>
                <w:rFonts w:hint="eastAsia" w:ascii="宋体" w:hAnsi="宋体"/>
                <w:sz w:val="18"/>
                <w:szCs w:val="18"/>
              </w:rPr>
              <w:t>国际公认数据库（如</w:t>
            </w:r>
            <w:r>
              <w:rPr>
                <w:rFonts w:ascii="宋体" w:hAnsi="宋体"/>
                <w:sz w:val="18"/>
                <w:szCs w:val="18"/>
              </w:rPr>
              <w:t>Ecoinvent</w:t>
            </w:r>
            <w:r>
              <w:rPr>
                <w:rFonts w:hint="eastAsia" w:ascii="宋体" w:hAnsi="宋体"/>
                <w:sz w:val="18"/>
                <w:szCs w:val="18"/>
              </w:rPr>
              <w:t>）中的废弃处理模型</w:t>
            </w:r>
          </w:p>
          <w:p w14:paraId="710B66BB">
            <w:pPr>
              <w:adjustRightInd/>
              <w:spacing w:line="240" w:lineRule="auto"/>
              <w:jc w:val="left"/>
              <w:rPr>
                <w:rFonts w:ascii="宋体" w:hAnsi="宋体"/>
                <w:sz w:val="18"/>
                <w:szCs w:val="18"/>
              </w:rPr>
            </w:pPr>
            <w:r>
              <w:rPr>
                <w:rFonts w:ascii="宋体" w:hAnsi="宋体"/>
                <w:sz w:val="18"/>
                <w:szCs w:val="18"/>
              </w:rPr>
              <w:t xml:space="preserve">3. </w:t>
            </w:r>
            <w:r>
              <w:rPr>
                <w:rFonts w:hint="eastAsia" w:ascii="宋体" w:hAnsi="宋体"/>
                <w:sz w:val="18"/>
                <w:szCs w:val="18"/>
              </w:rPr>
              <w:t>科学文献数据</w:t>
            </w:r>
          </w:p>
        </w:tc>
      </w:tr>
    </w:tbl>
    <w:p w14:paraId="0907FD1C">
      <w:pPr>
        <w:pStyle w:val="56"/>
        <w:ind w:firstLine="420"/>
      </w:pPr>
    </w:p>
    <w:p w14:paraId="56644659">
      <w:pPr>
        <w:pStyle w:val="56"/>
        <w:ind w:firstLine="420"/>
      </w:pPr>
    </w:p>
    <w:p w14:paraId="20CE2D7A">
      <w:pPr>
        <w:pStyle w:val="56"/>
        <w:ind w:firstLine="420"/>
      </w:pPr>
    </w:p>
    <w:p w14:paraId="48C5290C">
      <w:pPr>
        <w:pStyle w:val="56"/>
        <w:ind w:firstLine="420"/>
        <w:sectPr>
          <w:pgSz w:w="11906" w:h="16838"/>
          <w:pgMar w:top="1928" w:right="1134" w:bottom="1134" w:left="1134" w:header="1418" w:footer="1134" w:gutter="284"/>
          <w:cols w:space="425" w:num="1"/>
          <w:formProt w:val="0"/>
          <w:docGrid w:linePitch="312" w:charSpace="0"/>
        </w:sectPr>
      </w:pPr>
    </w:p>
    <w:p w14:paraId="0777685E">
      <w:pPr>
        <w:pStyle w:val="198"/>
        <w:rPr>
          <w:vanish w:val="0"/>
        </w:rPr>
      </w:pPr>
    </w:p>
    <w:p w14:paraId="11CD4C2E">
      <w:pPr>
        <w:pStyle w:val="199"/>
        <w:rPr>
          <w:vanish w:val="0"/>
        </w:rPr>
      </w:pPr>
    </w:p>
    <w:p w14:paraId="37F816F8">
      <w:pPr>
        <w:pStyle w:val="76"/>
        <w:spacing w:after="120"/>
      </w:pPr>
      <w:r>
        <w:br w:type="textWrapping"/>
      </w:r>
      <w:r>
        <w:rPr>
          <w:rFonts w:hint="eastAsia"/>
        </w:rPr>
        <w:t>（资料性）</w:t>
      </w:r>
      <w:r>
        <w:br w:type="textWrapping"/>
      </w:r>
      <w:r>
        <w:rPr>
          <w:rFonts w:hint="eastAsia"/>
        </w:rPr>
        <w:t>产品碳足迹的表征指标和特征化因子</w:t>
      </w:r>
    </w:p>
    <w:p w14:paraId="33868A76">
      <w:pPr>
        <w:widowControl/>
        <w:autoSpaceDE w:val="0"/>
        <w:autoSpaceDN w:val="0"/>
        <w:adjustRightInd/>
        <w:spacing w:line="240" w:lineRule="auto"/>
        <w:ind w:firstLine="420" w:firstLineChars="200"/>
        <w:rPr>
          <w:rFonts w:ascii="Times New Roman" w:hAnsi="Times New Roman"/>
          <w:kern w:val="0"/>
        </w:rPr>
      </w:pPr>
      <w:r>
        <w:rPr>
          <w:rFonts w:hint="eastAsia" w:ascii="宋体" w:hAnsi="宋体"/>
          <w:kern w:val="0"/>
        </w:rPr>
        <w:t>互感器</w:t>
      </w:r>
      <w:r>
        <w:rPr>
          <w:rFonts w:ascii="宋体" w:hAnsi="宋体"/>
          <w:kern w:val="0"/>
        </w:rPr>
        <w:t>产品碳足迹</w:t>
      </w:r>
      <w:r>
        <w:rPr>
          <w:rFonts w:hint="eastAsia" w:ascii="宋体" w:hAnsi="宋体"/>
          <w:kern w:val="0"/>
        </w:rPr>
        <w:t>量化</w:t>
      </w:r>
      <w:r>
        <w:rPr>
          <w:rFonts w:ascii="宋体" w:hAnsi="宋体"/>
          <w:kern w:val="0"/>
        </w:rPr>
        <w:t>值用全球变暖潜势（</w:t>
      </w:r>
      <w:r>
        <w:rPr>
          <w:rFonts w:ascii="Times New Roman" w:hAnsi="Times New Roman"/>
          <w:kern w:val="0"/>
        </w:rPr>
        <w:t>Global Warming Potential</w:t>
      </w:r>
      <w:r>
        <w:rPr>
          <w:rFonts w:ascii="宋体" w:hAnsi="宋体"/>
          <w:kern w:val="0"/>
        </w:rPr>
        <w:t>，</w:t>
      </w:r>
      <w:r>
        <w:rPr>
          <w:rFonts w:ascii="Times New Roman" w:hAnsi="Times New Roman"/>
          <w:kern w:val="0"/>
        </w:rPr>
        <w:t>GWP</w:t>
      </w:r>
      <w:r>
        <w:rPr>
          <w:rFonts w:ascii="宋体" w:hAnsi="宋体"/>
          <w:kern w:val="0"/>
        </w:rPr>
        <w:t>）</w:t>
      </w:r>
      <w:r>
        <w:rPr>
          <w:rFonts w:hint="eastAsia" w:ascii="Times New Roman" w:hAnsi="Times New Roman"/>
          <w:kern w:val="0"/>
        </w:rPr>
        <w:t>100</w:t>
      </w:r>
      <w:r>
        <w:rPr>
          <w:rFonts w:hint="eastAsia" w:ascii="宋体" w:hAnsi="宋体"/>
          <w:kern w:val="0"/>
        </w:rPr>
        <w:t>年</w:t>
      </w:r>
      <w:r>
        <w:rPr>
          <w:rFonts w:ascii="宋体" w:hAnsi="宋体"/>
          <w:kern w:val="0"/>
        </w:rPr>
        <w:t>来表征，部分温室气体的全球变暖潜势特征化因子值如表所示。</w:t>
      </w:r>
    </w:p>
    <w:p w14:paraId="5738850D">
      <w:pPr>
        <w:pStyle w:val="77"/>
        <w:spacing w:before="120" w:after="120"/>
        <w:rPr>
          <w:rFonts w:ascii="Times New Roman"/>
        </w:rPr>
      </w:pPr>
      <w:r>
        <w:t>部分温室气体的全球变暖潜势</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2"/>
        <w:gridCol w:w="2169"/>
        <w:gridCol w:w="4649"/>
      </w:tblGrid>
      <w:tr w14:paraId="3827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69943681">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温室气体名称</w:t>
            </w:r>
          </w:p>
        </w:tc>
        <w:tc>
          <w:tcPr>
            <w:tcW w:w="1133" w:type="pct"/>
            <w:tcBorders>
              <w:top w:val="single" w:color="auto" w:sz="4" w:space="0"/>
              <w:left w:val="single" w:color="auto" w:sz="4" w:space="0"/>
              <w:bottom w:val="single" w:color="auto" w:sz="4" w:space="0"/>
              <w:right w:val="single" w:color="auto" w:sz="4" w:space="0"/>
            </w:tcBorders>
            <w:vAlign w:val="center"/>
          </w:tcPr>
          <w:p w14:paraId="19CFEE0E">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化学分子式</w:t>
            </w:r>
          </w:p>
        </w:tc>
        <w:tc>
          <w:tcPr>
            <w:tcW w:w="2429" w:type="pct"/>
            <w:tcBorders>
              <w:top w:val="single" w:color="auto" w:sz="4" w:space="0"/>
              <w:left w:val="single" w:color="auto" w:sz="4" w:space="0"/>
              <w:bottom w:val="single" w:color="auto" w:sz="4" w:space="0"/>
              <w:right w:val="single" w:color="auto" w:sz="4" w:space="0"/>
            </w:tcBorders>
          </w:tcPr>
          <w:p w14:paraId="24AD8ED6">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全球变暖潜势</w:t>
            </w:r>
            <w:r>
              <w:rPr>
                <w:rFonts w:ascii="Times New Roman" w:hAnsi="Times New Roman"/>
                <w:kern w:val="0"/>
                <w:sz w:val="18"/>
                <w:szCs w:val="18"/>
              </w:rPr>
              <w:t>GWP100</w:t>
            </w:r>
          </w:p>
        </w:tc>
      </w:tr>
      <w:tr w14:paraId="6E99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7F4A29B0">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二氧化碳</w:t>
            </w:r>
          </w:p>
        </w:tc>
        <w:tc>
          <w:tcPr>
            <w:tcW w:w="1133" w:type="pct"/>
            <w:tcBorders>
              <w:top w:val="single" w:color="auto" w:sz="4" w:space="0"/>
              <w:left w:val="single" w:color="auto" w:sz="4" w:space="0"/>
              <w:bottom w:val="single" w:color="auto" w:sz="4" w:space="0"/>
              <w:right w:val="single" w:color="auto" w:sz="4" w:space="0"/>
            </w:tcBorders>
          </w:tcPr>
          <w:p w14:paraId="2C62C583">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CO</w:t>
            </w:r>
            <w:r>
              <w:rPr>
                <w:rFonts w:ascii="Times New Roman" w:hAnsi="Times New Roman"/>
                <w:kern w:val="0"/>
                <w:sz w:val="18"/>
                <w:szCs w:val="18"/>
                <w:vertAlign w:val="subscript"/>
              </w:rPr>
              <w:t>2</w:t>
            </w:r>
          </w:p>
        </w:tc>
        <w:tc>
          <w:tcPr>
            <w:tcW w:w="2429" w:type="pct"/>
            <w:tcBorders>
              <w:top w:val="single" w:color="auto" w:sz="4" w:space="0"/>
              <w:left w:val="single" w:color="auto" w:sz="4" w:space="0"/>
              <w:bottom w:val="single" w:color="auto" w:sz="4" w:space="0"/>
              <w:right w:val="single" w:color="auto" w:sz="4" w:space="0"/>
            </w:tcBorders>
          </w:tcPr>
          <w:p w14:paraId="20292AB5">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1</w:t>
            </w:r>
          </w:p>
        </w:tc>
      </w:tr>
      <w:tr w14:paraId="57AE3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6E2F48B1">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甲烷</w:t>
            </w:r>
          </w:p>
        </w:tc>
        <w:tc>
          <w:tcPr>
            <w:tcW w:w="1133" w:type="pct"/>
            <w:tcBorders>
              <w:top w:val="single" w:color="auto" w:sz="4" w:space="0"/>
              <w:left w:val="single" w:color="auto" w:sz="4" w:space="0"/>
              <w:bottom w:val="single" w:color="auto" w:sz="4" w:space="0"/>
              <w:right w:val="single" w:color="auto" w:sz="4" w:space="0"/>
            </w:tcBorders>
          </w:tcPr>
          <w:p w14:paraId="67D6619C">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CH</w:t>
            </w:r>
            <w:r>
              <w:rPr>
                <w:rFonts w:ascii="Times New Roman" w:hAnsi="Times New Roman"/>
                <w:kern w:val="0"/>
                <w:sz w:val="18"/>
                <w:szCs w:val="18"/>
                <w:vertAlign w:val="subscript"/>
              </w:rPr>
              <w:t>4</w:t>
            </w:r>
          </w:p>
        </w:tc>
        <w:tc>
          <w:tcPr>
            <w:tcW w:w="2429" w:type="pct"/>
            <w:tcBorders>
              <w:top w:val="single" w:color="auto" w:sz="4" w:space="0"/>
              <w:left w:val="single" w:color="auto" w:sz="4" w:space="0"/>
              <w:bottom w:val="single" w:color="auto" w:sz="4" w:space="0"/>
              <w:right w:val="single" w:color="auto" w:sz="4" w:space="0"/>
            </w:tcBorders>
          </w:tcPr>
          <w:p w14:paraId="3370BA85">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27.9</w:t>
            </w:r>
          </w:p>
        </w:tc>
      </w:tr>
      <w:tr w14:paraId="0A87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19F66EFF">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氧化亚氮</w:t>
            </w:r>
          </w:p>
        </w:tc>
        <w:tc>
          <w:tcPr>
            <w:tcW w:w="1133" w:type="pct"/>
            <w:tcBorders>
              <w:top w:val="single" w:color="auto" w:sz="4" w:space="0"/>
              <w:left w:val="single" w:color="auto" w:sz="4" w:space="0"/>
              <w:bottom w:val="single" w:color="auto" w:sz="4" w:space="0"/>
              <w:right w:val="single" w:color="auto" w:sz="4" w:space="0"/>
            </w:tcBorders>
          </w:tcPr>
          <w:p w14:paraId="14C1FA19">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N</w:t>
            </w:r>
            <w:r>
              <w:rPr>
                <w:rFonts w:ascii="Times New Roman" w:hAnsi="Times New Roman"/>
                <w:kern w:val="0"/>
                <w:sz w:val="18"/>
                <w:szCs w:val="18"/>
                <w:vertAlign w:val="subscript"/>
              </w:rPr>
              <w:t>2</w:t>
            </w:r>
            <w:r>
              <w:rPr>
                <w:rFonts w:ascii="Times New Roman" w:hAnsi="Times New Roman"/>
                <w:kern w:val="0"/>
                <w:sz w:val="18"/>
                <w:szCs w:val="18"/>
              </w:rPr>
              <w:t>O</w:t>
            </w:r>
          </w:p>
        </w:tc>
        <w:tc>
          <w:tcPr>
            <w:tcW w:w="2429" w:type="pct"/>
            <w:tcBorders>
              <w:top w:val="single" w:color="auto" w:sz="4" w:space="0"/>
              <w:left w:val="single" w:color="auto" w:sz="4" w:space="0"/>
              <w:bottom w:val="single" w:color="auto" w:sz="4" w:space="0"/>
              <w:right w:val="single" w:color="auto" w:sz="4" w:space="0"/>
            </w:tcBorders>
          </w:tcPr>
          <w:p w14:paraId="0B20913E">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273</w:t>
            </w:r>
          </w:p>
        </w:tc>
      </w:tr>
      <w:tr w14:paraId="6365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704E89AA">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三氟化氮</w:t>
            </w:r>
          </w:p>
        </w:tc>
        <w:tc>
          <w:tcPr>
            <w:tcW w:w="1133" w:type="pct"/>
            <w:tcBorders>
              <w:top w:val="single" w:color="auto" w:sz="4" w:space="0"/>
              <w:left w:val="single" w:color="auto" w:sz="4" w:space="0"/>
              <w:bottom w:val="single" w:color="auto" w:sz="4" w:space="0"/>
              <w:right w:val="single" w:color="auto" w:sz="4" w:space="0"/>
            </w:tcBorders>
          </w:tcPr>
          <w:p w14:paraId="2F38D046">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NF</w:t>
            </w:r>
            <w:r>
              <w:rPr>
                <w:rFonts w:ascii="Times New Roman" w:hAnsi="Times New Roman"/>
                <w:kern w:val="0"/>
                <w:sz w:val="18"/>
                <w:szCs w:val="18"/>
                <w:vertAlign w:val="subscript"/>
              </w:rPr>
              <w:t>3</w:t>
            </w:r>
          </w:p>
        </w:tc>
        <w:tc>
          <w:tcPr>
            <w:tcW w:w="2429" w:type="pct"/>
            <w:tcBorders>
              <w:top w:val="single" w:color="auto" w:sz="4" w:space="0"/>
              <w:left w:val="single" w:color="auto" w:sz="4" w:space="0"/>
              <w:bottom w:val="single" w:color="auto" w:sz="4" w:space="0"/>
              <w:right w:val="single" w:color="auto" w:sz="4" w:space="0"/>
            </w:tcBorders>
          </w:tcPr>
          <w:p w14:paraId="0DE09E41">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17400</w:t>
            </w:r>
          </w:p>
        </w:tc>
      </w:tr>
      <w:tr w14:paraId="713F7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6CA1EE0A">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六氟化硫</w:t>
            </w:r>
          </w:p>
        </w:tc>
        <w:tc>
          <w:tcPr>
            <w:tcW w:w="1133" w:type="pct"/>
            <w:tcBorders>
              <w:top w:val="single" w:color="auto" w:sz="4" w:space="0"/>
              <w:left w:val="single" w:color="auto" w:sz="4" w:space="0"/>
              <w:bottom w:val="single" w:color="auto" w:sz="4" w:space="0"/>
              <w:right w:val="single" w:color="auto" w:sz="4" w:space="0"/>
            </w:tcBorders>
          </w:tcPr>
          <w:p w14:paraId="7DB0CECE">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SF</w:t>
            </w:r>
            <w:r>
              <w:rPr>
                <w:rFonts w:ascii="Times New Roman" w:hAnsi="Times New Roman"/>
                <w:kern w:val="0"/>
                <w:sz w:val="18"/>
                <w:szCs w:val="18"/>
                <w:vertAlign w:val="subscript"/>
              </w:rPr>
              <w:t>6</w:t>
            </w:r>
          </w:p>
        </w:tc>
        <w:tc>
          <w:tcPr>
            <w:tcW w:w="2429" w:type="pct"/>
            <w:tcBorders>
              <w:top w:val="single" w:color="auto" w:sz="4" w:space="0"/>
              <w:left w:val="single" w:color="auto" w:sz="4" w:space="0"/>
              <w:bottom w:val="single" w:color="auto" w:sz="4" w:space="0"/>
              <w:right w:val="single" w:color="auto" w:sz="4" w:space="0"/>
            </w:tcBorders>
          </w:tcPr>
          <w:p w14:paraId="05E2C0CA">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25200</w:t>
            </w:r>
          </w:p>
        </w:tc>
      </w:tr>
      <w:tr w14:paraId="7FB1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789C3D3B">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氢氟碳化物（</w:t>
            </w:r>
            <w:r>
              <w:rPr>
                <w:rFonts w:ascii="Times New Roman" w:hAnsi="Times New Roman"/>
                <w:kern w:val="0"/>
                <w:sz w:val="18"/>
                <w:szCs w:val="18"/>
              </w:rPr>
              <w:t>HFCs</w:t>
            </w:r>
            <w:r>
              <w:rPr>
                <w:rFonts w:ascii="宋体" w:hAnsi="宋体"/>
                <w:kern w:val="0"/>
                <w:sz w:val="18"/>
                <w:szCs w:val="18"/>
              </w:rPr>
              <w:t>）</w:t>
            </w:r>
          </w:p>
        </w:tc>
      </w:tr>
      <w:tr w14:paraId="70A8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062C1CD7">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HFC-23</w:t>
            </w:r>
          </w:p>
        </w:tc>
        <w:tc>
          <w:tcPr>
            <w:tcW w:w="1133" w:type="pct"/>
            <w:tcBorders>
              <w:top w:val="single" w:color="auto" w:sz="4" w:space="0"/>
              <w:left w:val="single" w:color="auto" w:sz="4" w:space="0"/>
              <w:bottom w:val="single" w:color="auto" w:sz="4" w:space="0"/>
              <w:right w:val="single" w:color="auto" w:sz="4" w:space="0"/>
            </w:tcBorders>
          </w:tcPr>
          <w:p w14:paraId="255C1B43">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CHF</w:t>
            </w:r>
            <w:r>
              <w:rPr>
                <w:rFonts w:ascii="Times New Roman" w:hAnsi="Times New Roman"/>
                <w:kern w:val="0"/>
                <w:sz w:val="18"/>
                <w:szCs w:val="18"/>
                <w:vertAlign w:val="subscript"/>
              </w:rPr>
              <w:t>3</w:t>
            </w:r>
          </w:p>
        </w:tc>
        <w:tc>
          <w:tcPr>
            <w:tcW w:w="2429" w:type="pct"/>
            <w:tcBorders>
              <w:top w:val="single" w:color="auto" w:sz="4" w:space="0"/>
              <w:left w:val="single" w:color="auto" w:sz="4" w:space="0"/>
              <w:bottom w:val="single" w:color="auto" w:sz="4" w:space="0"/>
              <w:right w:val="single" w:color="auto" w:sz="4" w:space="0"/>
            </w:tcBorders>
          </w:tcPr>
          <w:p w14:paraId="267B09B0">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14600</w:t>
            </w:r>
          </w:p>
        </w:tc>
      </w:tr>
      <w:tr w14:paraId="115B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112A4364">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HFC-32</w:t>
            </w:r>
          </w:p>
        </w:tc>
        <w:tc>
          <w:tcPr>
            <w:tcW w:w="1133" w:type="pct"/>
            <w:tcBorders>
              <w:top w:val="single" w:color="auto" w:sz="4" w:space="0"/>
              <w:left w:val="single" w:color="auto" w:sz="4" w:space="0"/>
              <w:bottom w:val="single" w:color="auto" w:sz="4" w:space="0"/>
              <w:right w:val="single" w:color="auto" w:sz="4" w:space="0"/>
            </w:tcBorders>
          </w:tcPr>
          <w:p w14:paraId="56D821E6">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CH</w:t>
            </w:r>
            <w:r>
              <w:rPr>
                <w:rFonts w:ascii="Times New Roman" w:hAnsi="Times New Roman"/>
                <w:kern w:val="0"/>
                <w:sz w:val="18"/>
                <w:szCs w:val="18"/>
                <w:vertAlign w:val="subscript"/>
              </w:rPr>
              <w:t>2</w:t>
            </w:r>
            <w:r>
              <w:rPr>
                <w:rFonts w:ascii="Times New Roman" w:hAnsi="Times New Roman"/>
                <w:kern w:val="0"/>
                <w:sz w:val="18"/>
                <w:szCs w:val="18"/>
              </w:rPr>
              <w:t>F</w:t>
            </w:r>
            <w:r>
              <w:rPr>
                <w:rFonts w:ascii="Times New Roman" w:hAnsi="Times New Roman"/>
                <w:kern w:val="0"/>
                <w:sz w:val="18"/>
                <w:szCs w:val="18"/>
                <w:vertAlign w:val="subscript"/>
              </w:rPr>
              <w:t>2</w:t>
            </w:r>
          </w:p>
        </w:tc>
        <w:tc>
          <w:tcPr>
            <w:tcW w:w="2429" w:type="pct"/>
            <w:tcBorders>
              <w:top w:val="single" w:color="auto" w:sz="4" w:space="0"/>
              <w:left w:val="single" w:color="auto" w:sz="4" w:space="0"/>
              <w:bottom w:val="single" w:color="auto" w:sz="4" w:space="0"/>
              <w:right w:val="single" w:color="auto" w:sz="4" w:space="0"/>
            </w:tcBorders>
          </w:tcPr>
          <w:p w14:paraId="5785EAD8">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771</w:t>
            </w:r>
          </w:p>
        </w:tc>
      </w:tr>
      <w:tr w14:paraId="670D9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53D6111E">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HFC-41</w:t>
            </w:r>
          </w:p>
        </w:tc>
        <w:tc>
          <w:tcPr>
            <w:tcW w:w="1133" w:type="pct"/>
            <w:tcBorders>
              <w:top w:val="single" w:color="auto" w:sz="4" w:space="0"/>
              <w:left w:val="single" w:color="auto" w:sz="4" w:space="0"/>
              <w:bottom w:val="single" w:color="auto" w:sz="4" w:space="0"/>
              <w:right w:val="single" w:color="auto" w:sz="4" w:space="0"/>
            </w:tcBorders>
          </w:tcPr>
          <w:p w14:paraId="569B3069">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CH</w:t>
            </w:r>
            <w:r>
              <w:rPr>
                <w:rFonts w:ascii="Times New Roman" w:hAnsi="Times New Roman"/>
                <w:kern w:val="0"/>
                <w:sz w:val="18"/>
                <w:szCs w:val="18"/>
                <w:vertAlign w:val="subscript"/>
              </w:rPr>
              <w:t>3</w:t>
            </w:r>
            <w:r>
              <w:rPr>
                <w:rFonts w:ascii="Times New Roman" w:hAnsi="Times New Roman"/>
                <w:kern w:val="0"/>
                <w:sz w:val="18"/>
                <w:szCs w:val="18"/>
              </w:rPr>
              <w:t>F</w:t>
            </w:r>
          </w:p>
        </w:tc>
        <w:tc>
          <w:tcPr>
            <w:tcW w:w="2429" w:type="pct"/>
            <w:tcBorders>
              <w:top w:val="single" w:color="auto" w:sz="4" w:space="0"/>
              <w:left w:val="single" w:color="auto" w:sz="4" w:space="0"/>
              <w:bottom w:val="single" w:color="auto" w:sz="4" w:space="0"/>
              <w:right w:val="single" w:color="auto" w:sz="4" w:space="0"/>
            </w:tcBorders>
          </w:tcPr>
          <w:p w14:paraId="227A56F7">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135</w:t>
            </w:r>
          </w:p>
        </w:tc>
      </w:tr>
      <w:tr w14:paraId="3725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48D5F654">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HFC-125</w:t>
            </w:r>
          </w:p>
        </w:tc>
        <w:tc>
          <w:tcPr>
            <w:tcW w:w="1133" w:type="pct"/>
            <w:tcBorders>
              <w:top w:val="single" w:color="auto" w:sz="4" w:space="0"/>
              <w:left w:val="single" w:color="auto" w:sz="4" w:space="0"/>
              <w:bottom w:val="single" w:color="auto" w:sz="4" w:space="0"/>
              <w:right w:val="single" w:color="auto" w:sz="4" w:space="0"/>
            </w:tcBorders>
          </w:tcPr>
          <w:p w14:paraId="1EA7528C">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w:t>
            </w:r>
            <w:r>
              <w:rPr>
                <w:rFonts w:ascii="Times New Roman" w:hAnsi="Times New Roman"/>
                <w:kern w:val="0"/>
                <w:sz w:val="18"/>
                <w:szCs w:val="18"/>
                <w:vertAlign w:val="subscript"/>
              </w:rPr>
              <w:t>2</w:t>
            </w:r>
            <w:r>
              <w:rPr>
                <w:rFonts w:ascii="Times New Roman" w:hAnsi="Times New Roman"/>
                <w:kern w:val="0"/>
                <w:sz w:val="18"/>
                <w:szCs w:val="18"/>
              </w:rPr>
              <w:t>HF</w:t>
            </w:r>
            <w:r>
              <w:rPr>
                <w:rFonts w:ascii="Times New Roman" w:hAnsi="Times New Roman"/>
                <w:kern w:val="0"/>
                <w:sz w:val="18"/>
                <w:szCs w:val="18"/>
                <w:vertAlign w:val="subscript"/>
              </w:rPr>
              <w:t>5</w:t>
            </w:r>
          </w:p>
        </w:tc>
        <w:tc>
          <w:tcPr>
            <w:tcW w:w="2429" w:type="pct"/>
            <w:tcBorders>
              <w:top w:val="single" w:color="auto" w:sz="4" w:space="0"/>
              <w:left w:val="single" w:color="auto" w:sz="4" w:space="0"/>
              <w:bottom w:val="single" w:color="auto" w:sz="4" w:space="0"/>
              <w:right w:val="single" w:color="auto" w:sz="4" w:space="0"/>
            </w:tcBorders>
          </w:tcPr>
          <w:p w14:paraId="2C643216">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3740</w:t>
            </w:r>
          </w:p>
        </w:tc>
      </w:tr>
      <w:tr w14:paraId="20940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423D01EE">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HFC-134</w:t>
            </w:r>
          </w:p>
        </w:tc>
        <w:tc>
          <w:tcPr>
            <w:tcW w:w="1133" w:type="pct"/>
            <w:tcBorders>
              <w:top w:val="single" w:color="auto" w:sz="4" w:space="0"/>
              <w:left w:val="single" w:color="auto" w:sz="4" w:space="0"/>
              <w:bottom w:val="single" w:color="auto" w:sz="4" w:space="0"/>
              <w:right w:val="single" w:color="auto" w:sz="4" w:space="0"/>
            </w:tcBorders>
          </w:tcPr>
          <w:p w14:paraId="6F04D41E">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CHF</w:t>
            </w:r>
            <w:r>
              <w:rPr>
                <w:rFonts w:ascii="Times New Roman" w:hAnsi="Times New Roman"/>
                <w:kern w:val="0"/>
                <w:sz w:val="18"/>
                <w:szCs w:val="18"/>
                <w:vertAlign w:val="subscript"/>
              </w:rPr>
              <w:t>2</w:t>
            </w:r>
            <w:r>
              <w:rPr>
                <w:rFonts w:ascii="Times New Roman" w:hAnsi="Times New Roman"/>
                <w:kern w:val="0"/>
                <w:sz w:val="18"/>
                <w:szCs w:val="18"/>
              </w:rPr>
              <w:t>CHF</w:t>
            </w:r>
            <w:r>
              <w:rPr>
                <w:rFonts w:ascii="Times New Roman" w:hAnsi="Times New Roman"/>
                <w:kern w:val="0"/>
                <w:sz w:val="18"/>
                <w:szCs w:val="18"/>
                <w:vertAlign w:val="subscript"/>
              </w:rPr>
              <w:t>2</w:t>
            </w:r>
          </w:p>
        </w:tc>
        <w:tc>
          <w:tcPr>
            <w:tcW w:w="2429" w:type="pct"/>
            <w:tcBorders>
              <w:top w:val="single" w:color="auto" w:sz="4" w:space="0"/>
              <w:left w:val="single" w:color="auto" w:sz="4" w:space="0"/>
              <w:bottom w:val="single" w:color="auto" w:sz="4" w:space="0"/>
              <w:right w:val="single" w:color="auto" w:sz="4" w:space="0"/>
            </w:tcBorders>
          </w:tcPr>
          <w:p w14:paraId="7A5CDC29">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1260</w:t>
            </w:r>
          </w:p>
        </w:tc>
      </w:tr>
      <w:tr w14:paraId="606EC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6EFE7C7E">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HFC-134a</w:t>
            </w:r>
          </w:p>
        </w:tc>
        <w:tc>
          <w:tcPr>
            <w:tcW w:w="1133" w:type="pct"/>
            <w:tcBorders>
              <w:top w:val="single" w:color="auto" w:sz="4" w:space="0"/>
              <w:left w:val="single" w:color="auto" w:sz="4" w:space="0"/>
              <w:bottom w:val="single" w:color="auto" w:sz="4" w:space="0"/>
              <w:right w:val="single" w:color="auto" w:sz="4" w:space="0"/>
            </w:tcBorders>
          </w:tcPr>
          <w:p w14:paraId="5EBB54FF">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w:t>
            </w:r>
            <w:r>
              <w:rPr>
                <w:rFonts w:ascii="Times New Roman" w:hAnsi="Times New Roman"/>
                <w:kern w:val="0"/>
                <w:sz w:val="18"/>
                <w:szCs w:val="18"/>
                <w:vertAlign w:val="subscript"/>
              </w:rPr>
              <w:t>2</w:t>
            </w:r>
            <w:r>
              <w:rPr>
                <w:rFonts w:ascii="Times New Roman" w:hAnsi="Times New Roman"/>
                <w:kern w:val="0"/>
                <w:sz w:val="18"/>
                <w:szCs w:val="18"/>
              </w:rPr>
              <w:t>H</w:t>
            </w:r>
            <w:r>
              <w:rPr>
                <w:rFonts w:ascii="Times New Roman" w:hAnsi="Times New Roman"/>
                <w:kern w:val="0"/>
                <w:sz w:val="18"/>
                <w:szCs w:val="18"/>
                <w:vertAlign w:val="subscript"/>
              </w:rPr>
              <w:t>2</w:t>
            </w:r>
            <w:r>
              <w:rPr>
                <w:rFonts w:ascii="Times New Roman" w:hAnsi="Times New Roman"/>
                <w:kern w:val="0"/>
                <w:sz w:val="18"/>
                <w:szCs w:val="18"/>
              </w:rPr>
              <w:t>F</w:t>
            </w:r>
            <w:r>
              <w:rPr>
                <w:rFonts w:ascii="Times New Roman" w:hAnsi="Times New Roman"/>
                <w:kern w:val="0"/>
                <w:sz w:val="18"/>
                <w:szCs w:val="18"/>
                <w:vertAlign w:val="subscript"/>
              </w:rPr>
              <w:t>4</w:t>
            </w:r>
          </w:p>
        </w:tc>
        <w:tc>
          <w:tcPr>
            <w:tcW w:w="2429" w:type="pct"/>
            <w:tcBorders>
              <w:top w:val="single" w:color="auto" w:sz="4" w:space="0"/>
              <w:left w:val="single" w:color="auto" w:sz="4" w:space="0"/>
              <w:bottom w:val="single" w:color="auto" w:sz="4" w:space="0"/>
              <w:right w:val="single" w:color="auto" w:sz="4" w:space="0"/>
            </w:tcBorders>
          </w:tcPr>
          <w:p w14:paraId="538C46A8">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1530</w:t>
            </w:r>
          </w:p>
        </w:tc>
      </w:tr>
      <w:tr w14:paraId="3A6F6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00CBA82D">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HFC-143</w:t>
            </w:r>
          </w:p>
        </w:tc>
        <w:tc>
          <w:tcPr>
            <w:tcW w:w="1133" w:type="pct"/>
            <w:tcBorders>
              <w:top w:val="single" w:color="auto" w:sz="4" w:space="0"/>
              <w:left w:val="single" w:color="auto" w:sz="4" w:space="0"/>
              <w:bottom w:val="single" w:color="auto" w:sz="4" w:space="0"/>
              <w:right w:val="single" w:color="auto" w:sz="4" w:space="0"/>
            </w:tcBorders>
          </w:tcPr>
          <w:p w14:paraId="1EC512ED">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CH</w:t>
            </w:r>
            <w:r>
              <w:rPr>
                <w:rFonts w:ascii="Times New Roman" w:hAnsi="Times New Roman"/>
                <w:kern w:val="0"/>
                <w:sz w:val="18"/>
                <w:szCs w:val="18"/>
                <w:vertAlign w:val="subscript"/>
              </w:rPr>
              <w:t>2</w:t>
            </w:r>
            <w:r>
              <w:rPr>
                <w:rFonts w:ascii="Times New Roman" w:hAnsi="Times New Roman"/>
                <w:kern w:val="0"/>
                <w:sz w:val="18"/>
                <w:szCs w:val="18"/>
              </w:rPr>
              <w:t>FCHF</w:t>
            </w:r>
            <w:r>
              <w:rPr>
                <w:rFonts w:ascii="Times New Roman" w:hAnsi="Times New Roman"/>
                <w:kern w:val="0"/>
                <w:sz w:val="18"/>
                <w:szCs w:val="18"/>
                <w:vertAlign w:val="subscript"/>
              </w:rPr>
              <w:t>2</w:t>
            </w:r>
          </w:p>
        </w:tc>
        <w:tc>
          <w:tcPr>
            <w:tcW w:w="2429" w:type="pct"/>
            <w:tcBorders>
              <w:top w:val="single" w:color="auto" w:sz="4" w:space="0"/>
              <w:left w:val="single" w:color="auto" w:sz="4" w:space="0"/>
              <w:bottom w:val="single" w:color="auto" w:sz="4" w:space="0"/>
              <w:right w:val="single" w:color="auto" w:sz="4" w:space="0"/>
            </w:tcBorders>
          </w:tcPr>
          <w:p w14:paraId="554A396D">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364</w:t>
            </w:r>
          </w:p>
        </w:tc>
      </w:tr>
      <w:tr w14:paraId="75DB8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29FA952E">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HFC-143a</w:t>
            </w:r>
          </w:p>
        </w:tc>
        <w:tc>
          <w:tcPr>
            <w:tcW w:w="1133" w:type="pct"/>
            <w:tcBorders>
              <w:top w:val="single" w:color="auto" w:sz="4" w:space="0"/>
              <w:left w:val="single" w:color="auto" w:sz="4" w:space="0"/>
              <w:bottom w:val="single" w:color="auto" w:sz="4" w:space="0"/>
              <w:right w:val="single" w:color="auto" w:sz="4" w:space="0"/>
            </w:tcBorders>
          </w:tcPr>
          <w:p w14:paraId="2447C10C">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CH</w:t>
            </w:r>
            <w:r>
              <w:rPr>
                <w:rFonts w:ascii="Times New Roman" w:hAnsi="Times New Roman"/>
                <w:kern w:val="0"/>
                <w:sz w:val="18"/>
                <w:szCs w:val="18"/>
                <w:vertAlign w:val="subscript"/>
              </w:rPr>
              <w:t>3</w:t>
            </w:r>
            <w:r>
              <w:rPr>
                <w:rFonts w:ascii="Times New Roman" w:hAnsi="Times New Roman"/>
                <w:kern w:val="0"/>
                <w:sz w:val="18"/>
                <w:szCs w:val="18"/>
              </w:rPr>
              <w:t>CF</w:t>
            </w:r>
            <w:r>
              <w:rPr>
                <w:rFonts w:ascii="Times New Roman" w:hAnsi="Times New Roman"/>
                <w:kern w:val="0"/>
                <w:sz w:val="18"/>
                <w:szCs w:val="18"/>
                <w:vertAlign w:val="subscript"/>
              </w:rPr>
              <w:t>3</w:t>
            </w:r>
          </w:p>
        </w:tc>
        <w:tc>
          <w:tcPr>
            <w:tcW w:w="2429" w:type="pct"/>
            <w:tcBorders>
              <w:top w:val="single" w:color="auto" w:sz="4" w:space="0"/>
              <w:left w:val="single" w:color="auto" w:sz="4" w:space="0"/>
              <w:bottom w:val="single" w:color="auto" w:sz="4" w:space="0"/>
              <w:right w:val="single" w:color="auto" w:sz="4" w:space="0"/>
            </w:tcBorders>
          </w:tcPr>
          <w:p w14:paraId="309DC4D0">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5810</w:t>
            </w:r>
          </w:p>
        </w:tc>
      </w:tr>
      <w:tr w14:paraId="60D3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21DC039B">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HFC-152a</w:t>
            </w:r>
          </w:p>
        </w:tc>
        <w:tc>
          <w:tcPr>
            <w:tcW w:w="1133" w:type="pct"/>
            <w:tcBorders>
              <w:top w:val="single" w:color="auto" w:sz="4" w:space="0"/>
              <w:left w:val="single" w:color="auto" w:sz="4" w:space="0"/>
              <w:bottom w:val="single" w:color="auto" w:sz="4" w:space="0"/>
              <w:right w:val="single" w:color="auto" w:sz="4" w:space="0"/>
            </w:tcBorders>
          </w:tcPr>
          <w:p w14:paraId="3FAE5427">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w:t>
            </w:r>
            <w:r>
              <w:rPr>
                <w:rFonts w:ascii="Times New Roman" w:hAnsi="Times New Roman"/>
                <w:kern w:val="0"/>
                <w:sz w:val="18"/>
                <w:szCs w:val="18"/>
                <w:vertAlign w:val="subscript"/>
              </w:rPr>
              <w:t>2</w:t>
            </w:r>
            <w:r>
              <w:rPr>
                <w:rFonts w:ascii="Times New Roman" w:hAnsi="Times New Roman"/>
                <w:kern w:val="0"/>
                <w:sz w:val="18"/>
                <w:szCs w:val="18"/>
              </w:rPr>
              <w:t>H</w:t>
            </w:r>
            <w:r>
              <w:rPr>
                <w:rFonts w:ascii="Times New Roman" w:hAnsi="Times New Roman"/>
                <w:kern w:val="0"/>
                <w:sz w:val="18"/>
                <w:szCs w:val="18"/>
                <w:vertAlign w:val="subscript"/>
              </w:rPr>
              <w:t>4</w:t>
            </w:r>
            <w:r>
              <w:rPr>
                <w:rFonts w:ascii="Times New Roman" w:hAnsi="Times New Roman"/>
                <w:kern w:val="0"/>
                <w:sz w:val="18"/>
                <w:szCs w:val="18"/>
              </w:rPr>
              <w:t>F</w:t>
            </w:r>
            <w:r>
              <w:rPr>
                <w:rFonts w:ascii="Times New Roman" w:hAnsi="Times New Roman"/>
                <w:kern w:val="0"/>
                <w:sz w:val="18"/>
                <w:szCs w:val="18"/>
                <w:vertAlign w:val="subscript"/>
              </w:rPr>
              <w:t>2</w:t>
            </w:r>
          </w:p>
        </w:tc>
        <w:tc>
          <w:tcPr>
            <w:tcW w:w="2429" w:type="pct"/>
            <w:tcBorders>
              <w:top w:val="single" w:color="auto" w:sz="4" w:space="0"/>
              <w:left w:val="single" w:color="auto" w:sz="4" w:space="0"/>
              <w:bottom w:val="single" w:color="auto" w:sz="4" w:space="0"/>
              <w:right w:val="single" w:color="auto" w:sz="4" w:space="0"/>
            </w:tcBorders>
          </w:tcPr>
          <w:p w14:paraId="2D2C4AE5">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164</w:t>
            </w:r>
          </w:p>
        </w:tc>
      </w:tr>
      <w:tr w14:paraId="290D5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40F8E3A5">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HFC-227ea</w:t>
            </w:r>
          </w:p>
        </w:tc>
        <w:tc>
          <w:tcPr>
            <w:tcW w:w="1133" w:type="pct"/>
            <w:tcBorders>
              <w:top w:val="single" w:color="auto" w:sz="4" w:space="0"/>
              <w:left w:val="single" w:color="auto" w:sz="4" w:space="0"/>
              <w:bottom w:val="single" w:color="auto" w:sz="4" w:space="0"/>
              <w:right w:val="single" w:color="auto" w:sz="4" w:space="0"/>
            </w:tcBorders>
          </w:tcPr>
          <w:p w14:paraId="4C7B7529">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w:t>
            </w:r>
            <w:r>
              <w:rPr>
                <w:rFonts w:ascii="Times New Roman" w:hAnsi="Times New Roman"/>
                <w:kern w:val="0"/>
                <w:sz w:val="18"/>
                <w:szCs w:val="18"/>
                <w:vertAlign w:val="subscript"/>
              </w:rPr>
              <w:t>3</w:t>
            </w:r>
            <w:r>
              <w:rPr>
                <w:rFonts w:ascii="Times New Roman" w:hAnsi="Times New Roman"/>
                <w:kern w:val="0"/>
                <w:sz w:val="18"/>
                <w:szCs w:val="18"/>
              </w:rPr>
              <w:t>HF</w:t>
            </w:r>
            <w:r>
              <w:rPr>
                <w:rFonts w:ascii="Times New Roman" w:hAnsi="Times New Roman"/>
                <w:kern w:val="0"/>
                <w:sz w:val="18"/>
                <w:szCs w:val="18"/>
                <w:vertAlign w:val="subscript"/>
              </w:rPr>
              <w:t>7</w:t>
            </w:r>
          </w:p>
        </w:tc>
        <w:tc>
          <w:tcPr>
            <w:tcW w:w="2429" w:type="pct"/>
            <w:tcBorders>
              <w:top w:val="single" w:color="auto" w:sz="4" w:space="0"/>
              <w:left w:val="single" w:color="auto" w:sz="4" w:space="0"/>
              <w:bottom w:val="single" w:color="auto" w:sz="4" w:space="0"/>
              <w:right w:val="single" w:color="auto" w:sz="4" w:space="0"/>
            </w:tcBorders>
          </w:tcPr>
          <w:p w14:paraId="08AA51C1">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3600</w:t>
            </w:r>
          </w:p>
        </w:tc>
      </w:tr>
      <w:tr w14:paraId="048C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65D31991">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HFC-226fa</w:t>
            </w:r>
          </w:p>
        </w:tc>
        <w:tc>
          <w:tcPr>
            <w:tcW w:w="1133" w:type="pct"/>
            <w:tcBorders>
              <w:top w:val="single" w:color="auto" w:sz="4" w:space="0"/>
              <w:left w:val="single" w:color="auto" w:sz="4" w:space="0"/>
              <w:bottom w:val="single" w:color="auto" w:sz="4" w:space="0"/>
              <w:right w:val="single" w:color="auto" w:sz="4" w:space="0"/>
            </w:tcBorders>
          </w:tcPr>
          <w:p w14:paraId="039ECFCD">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w:t>
            </w:r>
            <w:r>
              <w:rPr>
                <w:rFonts w:ascii="Times New Roman" w:hAnsi="Times New Roman"/>
                <w:kern w:val="0"/>
                <w:sz w:val="18"/>
                <w:szCs w:val="18"/>
                <w:vertAlign w:val="subscript"/>
              </w:rPr>
              <w:t>3</w:t>
            </w:r>
            <w:r>
              <w:rPr>
                <w:rFonts w:ascii="Times New Roman" w:hAnsi="Times New Roman"/>
                <w:kern w:val="0"/>
                <w:sz w:val="18"/>
                <w:szCs w:val="18"/>
              </w:rPr>
              <w:t>H</w:t>
            </w:r>
            <w:r>
              <w:rPr>
                <w:rFonts w:ascii="Times New Roman" w:hAnsi="Times New Roman"/>
                <w:kern w:val="0"/>
                <w:sz w:val="18"/>
                <w:szCs w:val="18"/>
                <w:vertAlign w:val="subscript"/>
              </w:rPr>
              <w:t>2</w:t>
            </w:r>
            <w:r>
              <w:rPr>
                <w:rFonts w:ascii="Times New Roman" w:hAnsi="Times New Roman"/>
                <w:kern w:val="0"/>
                <w:sz w:val="18"/>
                <w:szCs w:val="18"/>
              </w:rPr>
              <w:t>F</w:t>
            </w:r>
            <w:r>
              <w:rPr>
                <w:rFonts w:ascii="Times New Roman" w:hAnsi="Times New Roman"/>
                <w:kern w:val="0"/>
                <w:sz w:val="18"/>
                <w:szCs w:val="18"/>
                <w:vertAlign w:val="subscript"/>
              </w:rPr>
              <w:t>6</w:t>
            </w:r>
          </w:p>
        </w:tc>
        <w:tc>
          <w:tcPr>
            <w:tcW w:w="2429" w:type="pct"/>
            <w:tcBorders>
              <w:top w:val="single" w:color="auto" w:sz="4" w:space="0"/>
              <w:left w:val="single" w:color="auto" w:sz="4" w:space="0"/>
              <w:bottom w:val="single" w:color="auto" w:sz="4" w:space="0"/>
              <w:right w:val="single" w:color="auto" w:sz="4" w:space="0"/>
            </w:tcBorders>
          </w:tcPr>
          <w:p w14:paraId="5D825EE8">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8690</w:t>
            </w:r>
          </w:p>
        </w:tc>
      </w:tr>
      <w:tr w14:paraId="1D0D5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77FDEDC5">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全氟碳化物（</w:t>
            </w:r>
            <w:r>
              <w:rPr>
                <w:rFonts w:ascii="Times New Roman" w:hAnsi="Times New Roman"/>
                <w:kern w:val="0"/>
                <w:sz w:val="18"/>
                <w:szCs w:val="18"/>
              </w:rPr>
              <w:t>PFCs</w:t>
            </w:r>
            <w:r>
              <w:rPr>
                <w:rFonts w:ascii="宋体" w:hAnsi="宋体"/>
                <w:kern w:val="0"/>
                <w:sz w:val="18"/>
                <w:szCs w:val="18"/>
              </w:rPr>
              <w:t>）</w:t>
            </w:r>
          </w:p>
        </w:tc>
      </w:tr>
      <w:tr w14:paraId="03A2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10136FEF">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全氟甲烷（四氟甲烷）</w:t>
            </w:r>
          </w:p>
        </w:tc>
        <w:tc>
          <w:tcPr>
            <w:tcW w:w="1133" w:type="pct"/>
            <w:tcBorders>
              <w:top w:val="single" w:color="auto" w:sz="4" w:space="0"/>
              <w:left w:val="single" w:color="auto" w:sz="4" w:space="0"/>
              <w:bottom w:val="single" w:color="auto" w:sz="4" w:space="0"/>
              <w:right w:val="single" w:color="auto" w:sz="4" w:space="0"/>
            </w:tcBorders>
          </w:tcPr>
          <w:p w14:paraId="7ED73D86">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CF</w:t>
            </w:r>
            <w:r>
              <w:rPr>
                <w:rFonts w:ascii="Times New Roman" w:hAnsi="Times New Roman"/>
                <w:kern w:val="0"/>
                <w:sz w:val="18"/>
                <w:szCs w:val="18"/>
                <w:vertAlign w:val="subscript"/>
              </w:rPr>
              <w:t>4</w:t>
            </w:r>
          </w:p>
        </w:tc>
        <w:tc>
          <w:tcPr>
            <w:tcW w:w="2429" w:type="pct"/>
            <w:tcBorders>
              <w:top w:val="single" w:color="auto" w:sz="4" w:space="0"/>
              <w:left w:val="single" w:color="auto" w:sz="4" w:space="0"/>
              <w:bottom w:val="single" w:color="auto" w:sz="4" w:space="0"/>
              <w:right w:val="single" w:color="auto" w:sz="4" w:space="0"/>
            </w:tcBorders>
          </w:tcPr>
          <w:p w14:paraId="1FB8EE86">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7380</w:t>
            </w:r>
          </w:p>
        </w:tc>
      </w:tr>
      <w:tr w14:paraId="79C56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6CA2206B">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全氟乙烷（六氟乙烷）</w:t>
            </w:r>
          </w:p>
        </w:tc>
        <w:tc>
          <w:tcPr>
            <w:tcW w:w="1133" w:type="pct"/>
            <w:tcBorders>
              <w:top w:val="single" w:color="auto" w:sz="4" w:space="0"/>
              <w:left w:val="single" w:color="auto" w:sz="4" w:space="0"/>
              <w:bottom w:val="single" w:color="auto" w:sz="4" w:space="0"/>
              <w:right w:val="single" w:color="auto" w:sz="4" w:space="0"/>
            </w:tcBorders>
          </w:tcPr>
          <w:p w14:paraId="7ED90139">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w:t>
            </w:r>
            <w:r>
              <w:rPr>
                <w:rFonts w:ascii="Times New Roman" w:hAnsi="Times New Roman"/>
                <w:kern w:val="0"/>
                <w:sz w:val="18"/>
                <w:szCs w:val="18"/>
                <w:vertAlign w:val="subscript"/>
              </w:rPr>
              <w:t>2</w:t>
            </w:r>
            <w:r>
              <w:rPr>
                <w:rFonts w:ascii="Times New Roman" w:hAnsi="Times New Roman"/>
                <w:kern w:val="0"/>
                <w:sz w:val="18"/>
                <w:szCs w:val="18"/>
              </w:rPr>
              <w:t>F</w:t>
            </w:r>
            <w:r>
              <w:rPr>
                <w:rFonts w:ascii="Times New Roman" w:hAnsi="Times New Roman"/>
                <w:kern w:val="0"/>
                <w:sz w:val="18"/>
                <w:szCs w:val="18"/>
                <w:vertAlign w:val="subscript"/>
              </w:rPr>
              <w:t>6</w:t>
            </w:r>
          </w:p>
        </w:tc>
        <w:tc>
          <w:tcPr>
            <w:tcW w:w="2429" w:type="pct"/>
            <w:tcBorders>
              <w:top w:val="single" w:color="auto" w:sz="4" w:space="0"/>
              <w:left w:val="single" w:color="auto" w:sz="4" w:space="0"/>
              <w:bottom w:val="single" w:color="auto" w:sz="4" w:space="0"/>
              <w:right w:val="single" w:color="auto" w:sz="4" w:space="0"/>
            </w:tcBorders>
          </w:tcPr>
          <w:p w14:paraId="1B4BD04E">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12400</w:t>
            </w:r>
          </w:p>
        </w:tc>
      </w:tr>
      <w:tr w14:paraId="2DD3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478820B0">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全氟丙烷</w:t>
            </w:r>
          </w:p>
        </w:tc>
        <w:tc>
          <w:tcPr>
            <w:tcW w:w="1133" w:type="pct"/>
            <w:tcBorders>
              <w:top w:val="single" w:color="auto" w:sz="4" w:space="0"/>
              <w:left w:val="single" w:color="auto" w:sz="4" w:space="0"/>
              <w:bottom w:val="single" w:color="auto" w:sz="4" w:space="0"/>
              <w:right w:val="single" w:color="auto" w:sz="4" w:space="0"/>
            </w:tcBorders>
          </w:tcPr>
          <w:p w14:paraId="3C86C9E1">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w:t>
            </w:r>
            <w:r>
              <w:rPr>
                <w:rFonts w:ascii="Times New Roman" w:hAnsi="Times New Roman"/>
                <w:kern w:val="0"/>
                <w:sz w:val="18"/>
                <w:szCs w:val="18"/>
                <w:vertAlign w:val="subscript"/>
              </w:rPr>
              <w:t>3</w:t>
            </w:r>
            <w:r>
              <w:rPr>
                <w:rFonts w:ascii="Times New Roman" w:hAnsi="Times New Roman"/>
                <w:kern w:val="0"/>
                <w:sz w:val="18"/>
                <w:szCs w:val="18"/>
              </w:rPr>
              <w:t>F</w:t>
            </w:r>
            <w:r>
              <w:rPr>
                <w:rFonts w:ascii="Times New Roman" w:hAnsi="Times New Roman"/>
                <w:kern w:val="0"/>
                <w:sz w:val="18"/>
                <w:szCs w:val="18"/>
                <w:vertAlign w:val="subscript"/>
              </w:rPr>
              <w:t>8</w:t>
            </w:r>
          </w:p>
        </w:tc>
        <w:tc>
          <w:tcPr>
            <w:tcW w:w="2429" w:type="pct"/>
            <w:tcBorders>
              <w:top w:val="single" w:color="auto" w:sz="4" w:space="0"/>
              <w:left w:val="single" w:color="auto" w:sz="4" w:space="0"/>
              <w:bottom w:val="single" w:color="auto" w:sz="4" w:space="0"/>
              <w:right w:val="single" w:color="auto" w:sz="4" w:space="0"/>
            </w:tcBorders>
          </w:tcPr>
          <w:p w14:paraId="4C157798">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9290</w:t>
            </w:r>
          </w:p>
        </w:tc>
      </w:tr>
      <w:tr w14:paraId="36CE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6B1F46E7">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全氟丁烷</w:t>
            </w:r>
          </w:p>
        </w:tc>
        <w:tc>
          <w:tcPr>
            <w:tcW w:w="1133" w:type="pct"/>
            <w:tcBorders>
              <w:top w:val="single" w:color="auto" w:sz="4" w:space="0"/>
              <w:left w:val="single" w:color="auto" w:sz="4" w:space="0"/>
              <w:bottom w:val="single" w:color="auto" w:sz="4" w:space="0"/>
              <w:right w:val="single" w:color="auto" w:sz="4" w:space="0"/>
            </w:tcBorders>
          </w:tcPr>
          <w:p w14:paraId="0C06FF84">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w:t>
            </w:r>
            <w:r>
              <w:rPr>
                <w:rFonts w:ascii="Times New Roman" w:hAnsi="Times New Roman"/>
                <w:kern w:val="0"/>
                <w:sz w:val="18"/>
                <w:szCs w:val="18"/>
                <w:vertAlign w:val="subscript"/>
              </w:rPr>
              <w:t>4</w:t>
            </w:r>
            <w:r>
              <w:rPr>
                <w:rFonts w:ascii="Times New Roman" w:hAnsi="Times New Roman"/>
                <w:kern w:val="0"/>
                <w:sz w:val="18"/>
                <w:szCs w:val="18"/>
              </w:rPr>
              <w:t>F</w:t>
            </w:r>
            <w:r>
              <w:rPr>
                <w:rFonts w:ascii="Times New Roman" w:hAnsi="Times New Roman"/>
                <w:kern w:val="0"/>
                <w:sz w:val="18"/>
                <w:szCs w:val="18"/>
                <w:vertAlign w:val="subscript"/>
              </w:rPr>
              <w:t>10</w:t>
            </w:r>
          </w:p>
        </w:tc>
        <w:tc>
          <w:tcPr>
            <w:tcW w:w="2429" w:type="pct"/>
            <w:tcBorders>
              <w:top w:val="single" w:color="auto" w:sz="4" w:space="0"/>
              <w:left w:val="single" w:color="auto" w:sz="4" w:space="0"/>
              <w:bottom w:val="single" w:color="auto" w:sz="4" w:space="0"/>
              <w:right w:val="single" w:color="auto" w:sz="4" w:space="0"/>
            </w:tcBorders>
          </w:tcPr>
          <w:p w14:paraId="56080C77">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10000</w:t>
            </w:r>
          </w:p>
        </w:tc>
      </w:tr>
      <w:tr w14:paraId="46F0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25BFDCEB">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全氟环丁烷</w:t>
            </w:r>
          </w:p>
        </w:tc>
        <w:tc>
          <w:tcPr>
            <w:tcW w:w="1133" w:type="pct"/>
            <w:tcBorders>
              <w:top w:val="single" w:color="auto" w:sz="4" w:space="0"/>
              <w:left w:val="single" w:color="auto" w:sz="4" w:space="0"/>
              <w:bottom w:val="single" w:color="auto" w:sz="4" w:space="0"/>
              <w:right w:val="single" w:color="auto" w:sz="4" w:space="0"/>
            </w:tcBorders>
          </w:tcPr>
          <w:p w14:paraId="0AD6C0CD">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w:t>
            </w:r>
            <w:r>
              <w:rPr>
                <w:rFonts w:ascii="Times New Roman" w:hAnsi="Times New Roman"/>
                <w:kern w:val="0"/>
                <w:sz w:val="18"/>
                <w:szCs w:val="18"/>
                <w:vertAlign w:val="subscript"/>
              </w:rPr>
              <w:t>4</w:t>
            </w:r>
            <w:r>
              <w:rPr>
                <w:rFonts w:ascii="Times New Roman" w:hAnsi="Times New Roman"/>
                <w:kern w:val="0"/>
                <w:sz w:val="18"/>
                <w:szCs w:val="18"/>
              </w:rPr>
              <w:t>F</w:t>
            </w:r>
            <w:r>
              <w:rPr>
                <w:rFonts w:ascii="Times New Roman" w:hAnsi="Times New Roman"/>
                <w:kern w:val="0"/>
                <w:sz w:val="18"/>
                <w:szCs w:val="18"/>
                <w:vertAlign w:val="subscript"/>
              </w:rPr>
              <w:t>8</w:t>
            </w:r>
          </w:p>
        </w:tc>
        <w:tc>
          <w:tcPr>
            <w:tcW w:w="2429" w:type="pct"/>
            <w:tcBorders>
              <w:top w:val="single" w:color="auto" w:sz="4" w:space="0"/>
              <w:left w:val="single" w:color="auto" w:sz="4" w:space="0"/>
              <w:bottom w:val="single" w:color="auto" w:sz="4" w:space="0"/>
              <w:right w:val="single" w:color="auto" w:sz="4" w:space="0"/>
            </w:tcBorders>
          </w:tcPr>
          <w:p w14:paraId="421426D4">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10200</w:t>
            </w:r>
          </w:p>
        </w:tc>
      </w:tr>
      <w:tr w14:paraId="6703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54934866">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全氟戊烷</w:t>
            </w:r>
          </w:p>
        </w:tc>
        <w:tc>
          <w:tcPr>
            <w:tcW w:w="1133" w:type="pct"/>
            <w:tcBorders>
              <w:top w:val="single" w:color="auto" w:sz="4" w:space="0"/>
              <w:left w:val="single" w:color="auto" w:sz="4" w:space="0"/>
              <w:bottom w:val="single" w:color="auto" w:sz="4" w:space="0"/>
              <w:right w:val="single" w:color="auto" w:sz="4" w:space="0"/>
            </w:tcBorders>
          </w:tcPr>
          <w:p w14:paraId="70EAFE34">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w:t>
            </w:r>
            <w:r>
              <w:rPr>
                <w:rFonts w:ascii="Times New Roman" w:hAnsi="Times New Roman"/>
                <w:kern w:val="0"/>
                <w:sz w:val="18"/>
                <w:szCs w:val="18"/>
                <w:vertAlign w:val="subscript"/>
              </w:rPr>
              <w:t>5</w:t>
            </w:r>
            <w:r>
              <w:rPr>
                <w:rFonts w:ascii="Times New Roman" w:hAnsi="Times New Roman"/>
                <w:kern w:val="0"/>
                <w:sz w:val="18"/>
                <w:szCs w:val="18"/>
              </w:rPr>
              <w:t>F</w:t>
            </w:r>
            <w:r>
              <w:rPr>
                <w:rFonts w:ascii="Times New Roman" w:hAnsi="Times New Roman"/>
                <w:kern w:val="0"/>
                <w:sz w:val="18"/>
                <w:szCs w:val="18"/>
                <w:vertAlign w:val="subscript"/>
              </w:rPr>
              <w:t>12</w:t>
            </w:r>
          </w:p>
        </w:tc>
        <w:tc>
          <w:tcPr>
            <w:tcW w:w="2429" w:type="pct"/>
            <w:tcBorders>
              <w:top w:val="single" w:color="auto" w:sz="4" w:space="0"/>
              <w:left w:val="single" w:color="auto" w:sz="4" w:space="0"/>
              <w:bottom w:val="single" w:color="auto" w:sz="4" w:space="0"/>
              <w:right w:val="single" w:color="auto" w:sz="4" w:space="0"/>
            </w:tcBorders>
          </w:tcPr>
          <w:p w14:paraId="36005C35">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9220</w:t>
            </w:r>
          </w:p>
        </w:tc>
      </w:tr>
      <w:tr w14:paraId="403B9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438" w:type="pct"/>
            <w:tcBorders>
              <w:top w:val="single" w:color="auto" w:sz="4" w:space="0"/>
              <w:left w:val="single" w:color="auto" w:sz="4" w:space="0"/>
              <w:bottom w:val="single" w:color="auto" w:sz="4" w:space="0"/>
              <w:right w:val="single" w:color="auto" w:sz="4" w:space="0"/>
            </w:tcBorders>
            <w:vAlign w:val="center"/>
          </w:tcPr>
          <w:p w14:paraId="194B5C58">
            <w:pPr>
              <w:widowControl/>
              <w:autoSpaceDE w:val="0"/>
              <w:autoSpaceDN w:val="0"/>
              <w:adjustRightInd/>
              <w:spacing w:line="240" w:lineRule="auto"/>
              <w:jc w:val="center"/>
              <w:rPr>
                <w:rFonts w:ascii="Times New Roman" w:hAnsi="Times New Roman"/>
                <w:kern w:val="0"/>
                <w:sz w:val="18"/>
                <w:szCs w:val="18"/>
              </w:rPr>
            </w:pPr>
            <w:r>
              <w:rPr>
                <w:rFonts w:ascii="宋体" w:hAnsi="宋体"/>
                <w:kern w:val="0"/>
                <w:sz w:val="18"/>
                <w:szCs w:val="18"/>
              </w:rPr>
              <w:t>全氟己烷</w:t>
            </w:r>
          </w:p>
        </w:tc>
        <w:tc>
          <w:tcPr>
            <w:tcW w:w="1133" w:type="pct"/>
            <w:tcBorders>
              <w:top w:val="single" w:color="auto" w:sz="4" w:space="0"/>
              <w:left w:val="single" w:color="auto" w:sz="4" w:space="0"/>
              <w:bottom w:val="single" w:color="auto" w:sz="4" w:space="0"/>
              <w:right w:val="single" w:color="auto" w:sz="4" w:space="0"/>
            </w:tcBorders>
          </w:tcPr>
          <w:p w14:paraId="2E2697CE">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C</w:t>
            </w:r>
            <w:r>
              <w:rPr>
                <w:rFonts w:ascii="Times New Roman" w:hAnsi="Times New Roman"/>
                <w:kern w:val="0"/>
                <w:sz w:val="18"/>
                <w:szCs w:val="18"/>
                <w:vertAlign w:val="subscript"/>
              </w:rPr>
              <w:t>6</w:t>
            </w:r>
            <w:r>
              <w:rPr>
                <w:rFonts w:ascii="Times New Roman" w:hAnsi="Times New Roman"/>
                <w:kern w:val="0"/>
                <w:sz w:val="18"/>
                <w:szCs w:val="18"/>
              </w:rPr>
              <w:t>F</w:t>
            </w:r>
            <w:r>
              <w:rPr>
                <w:rFonts w:ascii="Times New Roman" w:hAnsi="Times New Roman"/>
                <w:kern w:val="0"/>
                <w:sz w:val="18"/>
                <w:szCs w:val="18"/>
                <w:vertAlign w:val="subscript"/>
              </w:rPr>
              <w:t>14</w:t>
            </w:r>
          </w:p>
        </w:tc>
        <w:tc>
          <w:tcPr>
            <w:tcW w:w="2429" w:type="pct"/>
            <w:tcBorders>
              <w:top w:val="single" w:color="auto" w:sz="4" w:space="0"/>
              <w:left w:val="single" w:color="auto" w:sz="4" w:space="0"/>
              <w:bottom w:val="single" w:color="auto" w:sz="4" w:space="0"/>
              <w:right w:val="single" w:color="auto" w:sz="4" w:space="0"/>
            </w:tcBorders>
          </w:tcPr>
          <w:p w14:paraId="2AAE7306">
            <w:pPr>
              <w:widowControl/>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8620</w:t>
            </w:r>
          </w:p>
        </w:tc>
      </w:tr>
    </w:tbl>
    <w:p w14:paraId="12511413">
      <w:pPr>
        <w:pStyle w:val="179"/>
        <w:rPr>
          <w:rFonts w:ascii="Times New Roman"/>
        </w:rPr>
      </w:pPr>
      <w:r>
        <w:t>部分温室气体的全球变暖潜势来源于气候变化专门委员会</w:t>
      </w:r>
      <w:r>
        <w:rPr>
          <w:rFonts w:ascii="Times New Roman"/>
        </w:rPr>
        <w:t>(IPCC)</w:t>
      </w:r>
      <w:r>
        <w:t>《气候变化报告</w:t>
      </w:r>
      <w:r>
        <w:rPr>
          <w:rFonts w:ascii="Times New Roman"/>
        </w:rPr>
        <w:t>2021</w:t>
      </w:r>
      <w:r>
        <w:t>：自然科学基础第一工作组对</w:t>
      </w:r>
      <w:r>
        <w:rPr>
          <w:rFonts w:ascii="Times New Roman"/>
        </w:rPr>
        <w:t>IPCC</w:t>
      </w:r>
      <w:r>
        <w:t>第六次评估报告的贡献》</w:t>
      </w:r>
      <w:r>
        <w:rPr>
          <w:rFonts w:hint="eastAsia"/>
        </w:rPr>
        <w:t>；</w:t>
      </w:r>
      <w:r>
        <w:t>如果</w:t>
      </w:r>
      <w:r>
        <w:rPr>
          <w:rFonts w:hint="eastAsia" w:ascii="Times New Roman"/>
        </w:rPr>
        <w:t>IPCC</w:t>
      </w:r>
      <w:r>
        <w:t>修改了全球变暖潜势值，则应在计算产品碳足迹时使用最新值，除非另有说明和证明。</w:t>
      </w:r>
    </w:p>
    <w:p w14:paraId="681F30C6">
      <w:pPr>
        <w:pStyle w:val="56"/>
        <w:ind w:firstLine="420"/>
      </w:pPr>
    </w:p>
    <w:p w14:paraId="7B9685C9">
      <w:pPr>
        <w:pStyle w:val="56"/>
        <w:ind w:firstLine="420"/>
      </w:pPr>
    </w:p>
    <w:p w14:paraId="693E1473">
      <w:pPr>
        <w:pStyle w:val="56"/>
        <w:ind w:firstLine="420"/>
      </w:pPr>
    </w:p>
    <w:p w14:paraId="3ECDC1A7">
      <w:pPr>
        <w:pStyle w:val="56"/>
        <w:ind w:firstLine="420"/>
        <w:sectPr>
          <w:pgSz w:w="11906" w:h="16838"/>
          <w:pgMar w:top="1928" w:right="1134" w:bottom="1134" w:left="1134" w:header="1418" w:footer="1134" w:gutter="284"/>
          <w:cols w:space="425" w:num="1"/>
          <w:formProt w:val="0"/>
          <w:docGrid w:linePitch="312" w:charSpace="0"/>
        </w:sectPr>
      </w:pPr>
    </w:p>
    <w:p w14:paraId="061368E6">
      <w:pPr>
        <w:pStyle w:val="198"/>
        <w:rPr>
          <w:vanish w:val="0"/>
        </w:rPr>
      </w:pPr>
    </w:p>
    <w:p w14:paraId="1FADC90D">
      <w:pPr>
        <w:pStyle w:val="199"/>
        <w:rPr>
          <w:vanish w:val="0"/>
        </w:rPr>
      </w:pPr>
    </w:p>
    <w:p w14:paraId="11AF20F5">
      <w:pPr>
        <w:pStyle w:val="76"/>
        <w:spacing w:after="120"/>
      </w:pPr>
      <w:r>
        <w:br w:type="textWrapping"/>
      </w:r>
      <w:r>
        <w:rPr>
          <w:rFonts w:hint="eastAsia"/>
        </w:rPr>
        <w:t>（资料性）</w:t>
      </w:r>
      <w:r>
        <w:br w:type="textWrapping"/>
      </w:r>
      <w:r>
        <w:rPr>
          <w:rFonts w:hint="eastAsia"/>
        </w:rPr>
        <w:t>产品碳足迹报告（模板）</w:t>
      </w:r>
    </w:p>
    <w:p w14:paraId="3C76FAFE">
      <w:pPr>
        <w:widowControl/>
        <w:adjustRightInd/>
        <w:spacing w:line="240" w:lineRule="auto"/>
        <w:jc w:val="center"/>
        <w:rPr>
          <w:rFonts w:ascii="Times New Roman" w:hAnsi="Times New Roman"/>
          <w:sz w:val="44"/>
          <w:szCs w:val="44"/>
        </w:rPr>
      </w:pPr>
      <w:r>
        <w:rPr>
          <w:rFonts w:ascii="宋体" w:hAnsi="宋体"/>
          <w:sz w:val="44"/>
          <w:szCs w:val="44"/>
        </w:rPr>
        <w:t>产品碳足迹或产品部分碳足迹报告（模板）</w:t>
      </w:r>
    </w:p>
    <w:p w14:paraId="469A7971">
      <w:pPr>
        <w:widowControl/>
        <w:adjustRightInd/>
        <w:spacing w:line="240" w:lineRule="auto"/>
        <w:ind w:firstLine="420" w:firstLineChars="200"/>
        <w:jc w:val="left"/>
        <w:rPr>
          <w:rFonts w:ascii="Times New Roman" w:hAnsi="Times New Roman"/>
        </w:rPr>
      </w:pPr>
      <w:r>
        <w:rPr>
          <w:rFonts w:ascii="Times New Roman" w:hAnsi="Times New Roman"/>
        </w:rPr>
        <w:t xml:space="preserve"> </w:t>
      </w:r>
    </w:p>
    <w:p w14:paraId="36146FF7">
      <w:pPr>
        <w:widowControl/>
        <w:adjustRightInd/>
        <w:spacing w:line="240" w:lineRule="auto"/>
        <w:ind w:firstLine="420" w:firstLineChars="200"/>
        <w:jc w:val="left"/>
        <w:rPr>
          <w:rFonts w:ascii="Times New Roman" w:hAnsi="Times New Roman"/>
        </w:rPr>
      </w:pPr>
      <w:r>
        <w:rPr>
          <w:rFonts w:ascii="Times New Roman" w:hAnsi="Times New Roman"/>
        </w:rPr>
        <w:t xml:space="preserve"> </w:t>
      </w:r>
    </w:p>
    <w:p w14:paraId="14C40219">
      <w:pPr>
        <w:widowControl/>
        <w:adjustRightInd/>
        <w:spacing w:line="240" w:lineRule="auto"/>
        <w:ind w:firstLine="420" w:firstLineChars="200"/>
        <w:jc w:val="left"/>
        <w:rPr>
          <w:rFonts w:ascii="Times New Roman" w:hAnsi="Times New Roman"/>
        </w:rPr>
      </w:pPr>
      <w:r>
        <w:rPr>
          <w:rFonts w:ascii="Times New Roman" w:hAnsi="Times New Roman"/>
        </w:rPr>
        <w:t xml:space="preserve"> </w:t>
      </w:r>
    </w:p>
    <w:p w14:paraId="2DE26DCE">
      <w:pPr>
        <w:widowControl/>
        <w:adjustRightInd/>
        <w:spacing w:line="240" w:lineRule="auto"/>
        <w:ind w:firstLine="420" w:firstLineChars="200"/>
        <w:jc w:val="left"/>
        <w:rPr>
          <w:rFonts w:ascii="Times New Roman" w:hAnsi="Times New Roman"/>
        </w:rPr>
      </w:pPr>
      <w:r>
        <w:rPr>
          <w:rFonts w:ascii="Times New Roman" w:hAnsi="Times New Roman"/>
        </w:rPr>
        <w:t xml:space="preserve"> </w:t>
      </w:r>
    </w:p>
    <w:p w14:paraId="1C7F6AEC">
      <w:pPr>
        <w:widowControl/>
        <w:adjustRightInd/>
        <w:spacing w:line="240" w:lineRule="auto"/>
        <w:ind w:firstLine="420" w:firstLineChars="200"/>
        <w:jc w:val="left"/>
        <w:rPr>
          <w:rFonts w:ascii="Times New Roman" w:hAnsi="Times New Roman"/>
        </w:rPr>
      </w:pPr>
      <w:r>
        <w:rPr>
          <w:rFonts w:ascii="Times New Roman" w:hAnsi="Times New Roman"/>
        </w:rPr>
        <w:t xml:space="preserve"> </w:t>
      </w:r>
    </w:p>
    <w:p w14:paraId="4C7A8911">
      <w:pPr>
        <w:widowControl/>
        <w:adjustRightInd/>
        <w:spacing w:line="240" w:lineRule="auto"/>
        <w:ind w:firstLine="420" w:firstLineChars="200"/>
        <w:jc w:val="left"/>
        <w:rPr>
          <w:rFonts w:ascii="Times New Roman" w:hAnsi="Times New Roman"/>
        </w:rPr>
      </w:pPr>
      <w:r>
        <w:rPr>
          <w:rFonts w:ascii="Times New Roman" w:hAnsi="Times New Roman"/>
        </w:rPr>
        <w:t xml:space="preserve"> </w:t>
      </w:r>
    </w:p>
    <w:p w14:paraId="5B52D428">
      <w:pPr>
        <w:widowControl/>
        <w:adjustRightInd/>
        <w:spacing w:line="240" w:lineRule="auto"/>
        <w:ind w:firstLine="560" w:firstLineChars="200"/>
        <w:jc w:val="left"/>
        <w:rPr>
          <w:rFonts w:ascii="Times New Roman" w:hAnsi="Times New Roman"/>
          <w:sz w:val="28"/>
          <w:szCs w:val="28"/>
          <w:u w:val="single"/>
        </w:rPr>
      </w:pPr>
      <w:r>
        <w:rPr>
          <w:rFonts w:ascii="宋体" w:hAnsi="宋体"/>
          <w:sz w:val="28"/>
          <w:szCs w:val="28"/>
        </w:rPr>
        <w:t>产品名称：</w:t>
      </w:r>
      <w:r>
        <w:rPr>
          <w:rFonts w:ascii="Times New Roman" w:hAnsi="Times New Roman"/>
          <w:sz w:val="28"/>
          <w:szCs w:val="28"/>
          <w:u w:val="single"/>
        </w:rPr>
        <w:t xml:space="preserve">                                  </w:t>
      </w:r>
    </w:p>
    <w:p w14:paraId="7B394209">
      <w:pPr>
        <w:widowControl/>
        <w:adjustRightInd/>
        <w:spacing w:line="240" w:lineRule="auto"/>
        <w:ind w:firstLine="560" w:firstLineChars="200"/>
        <w:jc w:val="left"/>
        <w:rPr>
          <w:rFonts w:ascii="Times New Roman" w:hAnsi="Times New Roman"/>
          <w:sz w:val="28"/>
          <w:szCs w:val="28"/>
          <w:u w:val="single"/>
        </w:rPr>
      </w:pPr>
      <w:r>
        <w:rPr>
          <w:rFonts w:ascii="宋体" w:hAnsi="宋体"/>
          <w:sz w:val="28"/>
          <w:szCs w:val="28"/>
        </w:rPr>
        <w:t>产品规格型号：</w:t>
      </w:r>
      <w:r>
        <w:rPr>
          <w:rFonts w:ascii="Times New Roman" w:hAnsi="Times New Roman"/>
          <w:sz w:val="28"/>
          <w:szCs w:val="28"/>
          <w:u w:val="single"/>
        </w:rPr>
        <w:t xml:space="preserve">                              </w:t>
      </w:r>
    </w:p>
    <w:p w14:paraId="5AD21D43">
      <w:pPr>
        <w:widowControl/>
        <w:adjustRightInd/>
        <w:spacing w:line="240" w:lineRule="auto"/>
        <w:ind w:firstLine="560" w:firstLineChars="200"/>
        <w:jc w:val="left"/>
        <w:rPr>
          <w:rFonts w:ascii="Times New Roman" w:hAnsi="Times New Roman"/>
          <w:sz w:val="28"/>
          <w:szCs w:val="28"/>
          <w:u w:val="single"/>
        </w:rPr>
      </w:pPr>
      <w:r>
        <w:rPr>
          <w:rFonts w:ascii="宋体" w:hAnsi="宋体"/>
          <w:sz w:val="28"/>
          <w:szCs w:val="28"/>
        </w:rPr>
        <w:t>生产者名称：</w:t>
      </w:r>
      <w:r>
        <w:rPr>
          <w:rFonts w:ascii="Times New Roman" w:hAnsi="Times New Roman"/>
          <w:sz w:val="28"/>
          <w:szCs w:val="28"/>
          <w:u w:val="single"/>
        </w:rPr>
        <w:t xml:space="preserve">                                </w:t>
      </w:r>
    </w:p>
    <w:p w14:paraId="298C4CDB">
      <w:pPr>
        <w:widowControl/>
        <w:adjustRightInd/>
        <w:spacing w:line="240" w:lineRule="auto"/>
        <w:ind w:firstLine="560" w:firstLineChars="200"/>
        <w:jc w:val="left"/>
        <w:rPr>
          <w:rFonts w:ascii="Times New Roman" w:hAnsi="Times New Roman" w:eastAsia="黑体"/>
          <w:kern w:val="0"/>
          <w:sz w:val="28"/>
          <w:szCs w:val="28"/>
        </w:rPr>
      </w:pPr>
      <w:r>
        <w:rPr>
          <w:rFonts w:ascii="宋体" w:hAnsi="宋体"/>
          <w:sz w:val="28"/>
          <w:szCs w:val="28"/>
        </w:rPr>
        <w:t>报告编号：</w:t>
      </w:r>
      <w:r>
        <w:rPr>
          <w:rFonts w:ascii="Times New Roman" w:hAnsi="Times New Roman"/>
          <w:sz w:val="28"/>
          <w:szCs w:val="28"/>
          <w:u w:val="single"/>
        </w:rPr>
        <w:t xml:space="preserve">                                  </w:t>
      </w:r>
    </w:p>
    <w:p w14:paraId="05CEDF49">
      <w:pPr>
        <w:widowControl/>
        <w:adjustRightInd/>
        <w:spacing w:line="240" w:lineRule="auto"/>
        <w:jc w:val="left"/>
        <w:rPr>
          <w:rFonts w:ascii="Times New Roman" w:hAnsi="Times New Roman"/>
          <w:sz w:val="28"/>
          <w:szCs w:val="28"/>
        </w:rPr>
      </w:pPr>
      <w:r>
        <w:rPr>
          <w:rFonts w:ascii="Times New Roman" w:hAnsi="Times New Roman"/>
          <w:sz w:val="28"/>
          <w:szCs w:val="28"/>
        </w:rPr>
        <w:t xml:space="preserve"> </w:t>
      </w:r>
    </w:p>
    <w:p w14:paraId="74FB25B1">
      <w:pPr>
        <w:widowControl/>
        <w:adjustRightInd/>
        <w:spacing w:line="240" w:lineRule="auto"/>
        <w:jc w:val="left"/>
        <w:rPr>
          <w:rFonts w:ascii="Times New Roman" w:hAnsi="Times New Roman"/>
          <w:sz w:val="28"/>
          <w:szCs w:val="28"/>
        </w:rPr>
      </w:pPr>
      <w:r>
        <w:rPr>
          <w:rFonts w:ascii="Times New Roman" w:hAnsi="Times New Roman"/>
          <w:sz w:val="28"/>
          <w:szCs w:val="28"/>
        </w:rPr>
        <w:t xml:space="preserve"> </w:t>
      </w:r>
    </w:p>
    <w:p w14:paraId="139CA162">
      <w:pPr>
        <w:widowControl/>
        <w:adjustRightInd/>
        <w:spacing w:line="240" w:lineRule="auto"/>
        <w:jc w:val="left"/>
        <w:rPr>
          <w:rFonts w:ascii="Times New Roman" w:hAnsi="Times New Roman"/>
          <w:sz w:val="28"/>
          <w:szCs w:val="28"/>
        </w:rPr>
      </w:pPr>
      <w:r>
        <w:rPr>
          <w:rFonts w:ascii="Times New Roman" w:hAnsi="Times New Roman"/>
          <w:sz w:val="28"/>
          <w:szCs w:val="28"/>
        </w:rPr>
        <w:t xml:space="preserve"> </w:t>
      </w:r>
    </w:p>
    <w:p w14:paraId="21B38DFE">
      <w:pPr>
        <w:widowControl/>
        <w:adjustRightInd/>
        <w:spacing w:line="240" w:lineRule="auto"/>
        <w:jc w:val="left"/>
        <w:rPr>
          <w:rFonts w:ascii="Times New Roman" w:hAnsi="Times New Roman"/>
          <w:sz w:val="28"/>
          <w:szCs w:val="28"/>
        </w:rPr>
      </w:pPr>
      <w:r>
        <w:rPr>
          <w:rFonts w:ascii="Times New Roman" w:hAnsi="Times New Roman"/>
          <w:sz w:val="28"/>
          <w:szCs w:val="28"/>
        </w:rPr>
        <w:t xml:space="preserve"> </w:t>
      </w:r>
    </w:p>
    <w:p w14:paraId="3E661FD4">
      <w:pPr>
        <w:widowControl/>
        <w:adjustRightInd/>
        <w:spacing w:line="240" w:lineRule="auto"/>
        <w:jc w:val="left"/>
        <w:rPr>
          <w:rFonts w:ascii="Times New Roman" w:hAnsi="Times New Roman"/>
          <w:sz w:val="28"/>
          <w:szCs w:val="28"/>
        </w:rPr>
      </w:pPr>
      <w:r>
        <w:rPr>
          <w:rFonts w:ascii="Times New Roman" w:hAnsi="Times New Roman"/>
          <w:sz w:val="28"/>
          <w:szCs w:val="28"/>
        </w:rPr>
        <w:t xml:space="preserve"> </w:t>
      </w:r>
    </w:p>
    <w:p w14:paraId="4CD79078">
      <w:pPr>
        <w:widowControl/>
        <w:adjustRightInd/>
        <w:spacing w:line="240" w:lineRule="auto"/>
        <w:jc w:val="left"/>
        <w:rPr>
          <w:rFonts w:ascii="Times New Roman" w:hAnsi="Times New Roman"/>
          <w:sz w:val="28"/>
          <w:szCs w:val="28"/>
        </w:rPr>
      </w:pPr>
      <w:r>
        <w:rPr>
          <w:rFonts w:ascii="Times New Roman" w:hAnsi="Times New Roman"/>
          <w:sz w:val="28"/>
          <w:szCs w:val="28"/>
        </w:rPr>
        <w:t xml:space="preserve"> </w:t>
      </w:r>
    </w:p>
    <w:p w14:paraId="44763422">
      <w:pPr>
        <w:widowControl/>
        <w:adjustRightInd/>
        <w:spacing w:line="240" w:lineRule="auto"/>
        <w:jc w:val="center"/>
        <w:rPr>
          <w:rFonts w:ascii="Times New Roman" w:hAnsi="Times New Roman"/>
          <w:sz w:val="28"/>
          <w:szCs w:val="28"/>
        </w:rPr>
      </w:pPr>
      <w:r>
        <w:rPr>
          <w:rFonts w:ascii="宋体" w:hAnsi="宋体"/>
          <w:sz w:val="28"/>
          <w:szCs w:val="28"/>
        </w:rPr>
        <w:t>出具报告机构：（若有）</w:t>
      </w:r>
      <w:r>
        <w:rPr>
          <w:rFonts w:ascii="Times New Roman" w:hAnsi="Times New Roman"/>
          <w:sz w:val="28"/>
          <w:szCs w:val="28"/>
          <w:u w:val="single"/>
        </w:rPr>
        <w:t xml:space="preserve">                  </w:t>
      </w:r>
      <w:r>
        <w:rPr>
          <w:rFonts w:ascii="宋体" w:hAnsi="宋体"/>
          <w:sz w:val="28"/>
          <w:szCs w:val="28"/>
        </w:rPr>
        <w:t>（盖章）</w:t>
      </w:r>
    </w:p>
    <w:p w14:paraId="7680D0BF">
      <w:pPr>
        <w:widowControl/>
        <w:adjustRightInd/>
        <w:spacing w:line="240" w:lineRule="auto"/>
        <w:jc w:val="center"/>
        <w:rPr>
          <w:rFonts w:ascii="Times New Roman" w:hAnsi="Times New Roman"/>
          <w:sz w:val="28"/>
          <w:szCs w:val="28"/>
        </w:rPr>
      </w:pPr>
      <w:r>
        <w:rPr>
          <w:rFonts w:ascii="宋体" w:hAnsi="宋体"/>
          <w:sz w:val="28"/>
          <w:szCs w:val="28"/>
        </w:rPr>
        <w:t>日期：</w:t>
      </w:r>
      <w:r>
        <w:rPr>
          <w:rFonts w:ascii="Times New Roman" w:hAnsi="Times New Roman"/>
          <w:sz w:val="28"/>
          <w:szCs w:val="28"/>
          <w:u w:val="single"/>
        </w:rPr>
        <w:t xml:space="preserve">        </w:t>
      </w:r>
      <w:r>
        <w:rPr>
          <w:rFonts w:ascii="宋体" w:hAnsi="宋体"/>
          <w:sz w:val="28"/>
          <w:szCs w:val="28"/>
        </w:rPr>
        <w:t>年</w:t>
      </w:r>
      <w:r>
        <w:rPr>
          <w:rFonts w:ascii="Times New Roman" w:hAnsi="Times New Roman"/>
          <w:sz w:val="28"/>
          <w:szCs w:val="28"/>
          <w:u w:val="single"/>
        </w:rPr>
        <w:t xml:space="preserve">    </w:t>
      </w:r>
      <w:r>
        <w:rPr>
          <w:rFonts w:ascii="宋体" w:hAnsi="宋体"/>
          <w:sz w:val="28"/>
          <w:szCs w:val="28"/>
        </w:rPr>
        <w:t>月</w:t>
      </w:r>
      <w:r>
        <w:rPr>
          <w:rFonts w:ascii="Times New Roman" w:hAnsi="Times New Roman"/>
          <w:sz w:val="28"/>
          <w:szCs w:val="28"/>
          <w:u w:val="single"/>
        </w:rPr>
        <w:t xml:space="preserve">   </w:t>
      </w:r>
      <w:r>
        <w:rPr>
          <w:rFonts w:ascii="宋体" w:hAnsi="宋体"/>
          <w:sz w:val="28"/>
          <w:szCs w:val="28"/>
        </w:rPr>
        <w:t>日</w:t>
      </w:r>
      <w:r>
        <w:rPr>
          <w:rFonts w:ascii="Times New Roman" w:hAnsi="Times New Roman"/>
          <w:sz w:val="28"/>
          <w:szCs w:val="28"/>
        </w:rPr>
        <w:br w:type="page"/>
      </w:r>
    </w:p>
    <w:p w14:paraId="5DFBF8D3">
      <w:pPr>
        <w:widowControl/>
        <w:adjustRightInd/>
        <w:spacing w:before="120" w:beforeLines="50" w:after="120" w:afterLines="50" w:line="360" w:lineRule="auto"/>
        <w:jc w:val="left"/>
        <w:rPr>
          <w:rFonts w:ascii="Times New Roman" w:hAnsi="Times New Roman"/>
          <w:b/>
          <w:bCs/>
          <w:sz w:val="28"/>
          <w:szCs w:val="28"/>
        </w:rPr>
      </w:pPr>
      <w:r>
        <w:rPr>
          <w:rFonts w:ascii="宋体" w:hAnsi="宋体"/>
          <w:b/>
          <w:bCs/>
          <w:sz w:val="28"/>
          <w:szCs w:val="28"/>
        </w:rPr>
        <w:t>一、概况</w:t>
      </w:r>
    </w:p>
    <w:p w14:paraId="04989272">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1</w:t>
      </w:r>
      <w:r>
        <w:rPr>
          <w:rFonts w:ascii="宋体" w:hAnsi="宋体"/>
          <w:b/>
          <w:bCs/>
          <w:sz w:val="24"/>
          <w:szCs w:val="24"/>
        </w:rPr>
        <w:t>、生产者信息</w:t>
      </w:r>
    </w:p>
    <w:p w14:paraId="5B2E9F2A">
      <w:pPr>
        <w:widowControl/>
        <w:adjustRightInd/>
        <w:spacing w:line="240" w:lineRule="auto"/>
        <w:jc w:val="left"/>
        <w:rPr>
          <w:rFonts w:ascii="Times New Roman" w:hAnsi="Times New Roman"/>
          <w:sz w:val="36"/>
          <w:szCs w:val="36"/>
        </w:rPr>
      </w:pPr>
      <w:r>
        <w:rPr>
          <w:rFonts w:ascii="宋体" w:hAnsi="宋体"/>
          <w:kern w:val="0"/>
          <w:sz w:val="24"/>
          <w:szCs w:val="24"/>
        </w:rPr>
        <w:t>生产者名称</w:t>
      </w:r>
      <w:r>
        <w:rPr>
          <w:rFonts w:ascii="宋体" w:hAnsi="宋体"/>
          <w:sz w:val="24"/>
          <w:szCs w:val="24"/>
        </w:rPr>
        <w:t>：</w:t>
      </w:r>
      <w:r>
        <w:rPr>
          <w:rFonts w:ascii="Times New Roman" w:hAnsi="Times New Roman"/>
          <w:sz w:val="24"/>
          <w:szCs w:val="24"/>
          <w:u w:val="single"/>
        </w:rPr>
        <w:t xml:space="preserve">                        </w:t>
      </w:r>
    </w:p>
    <w:p w14:paraId="71025489">
      <w:pPr>
        <w:widowControl/>
        <w:adjustRightInd/>
        <w:spacing w:line="240" w:lineRule="auto"/>
        <w:jc w:val="left"/>
        <w:rPr>
          <w:rFonts w:ascii="Times New Roman" w:hAnsi="Times New Roman"/>
          <w:sz w:val="24"/>
          <w:szCs w:val="24"/>
          <w:u w:val="single"/>
        </w:rPr>
      </w:pPr>
      <w:r>
        <w:rPr>
          <w:rFonts w:ascii="宋体" w:hAnsi="宋体"/>
          <w:sz w:val="24"/>
          <w:szCs w:val="24"/>
        </w:rPr>
        <w:t>地</w:t>
      </w:r>
      <w:r>
        <w:rPr>
          <w:rFonts w:ascii="Times New Roman" w:hAnsi="Times New Roman"/>
          <w:sz w:val="24"/>
          <w:szCs w:val="24"/>
        </w:rPr>
        <w:t xml:space="preserve">      </w:t>
      </w:r>
      <w:r>
        <w:rPr>
          <w:rFonts w:ascii="宋体" w:hAnsi="宋体"/>
          <w:sz w:val="24"/>
          <w:szCs w:val="24"/>
        </w:rPr>
        <w:t>址：</w:t>
      </w:r>
      <w:r>
        <w:rPr>
          <w:rFonts w:ascii="Times New Roman" w:hAnsi="Times New Roman"/>
          <w:sz w:val="24"/>
          <w:szCs w:val="24"/>
          <w:u w:val="single"/>
        </w:rPr>
        <w:t xml:space="preserve">                        </w:t>
      </w:r>
    </w:p>
    <w:p w14:paraId="300FFFB0">
      <w:pPr>
        <w:widowControl/>
        <w:adjustRightInd/>
        <w:spacing w:line="240" w:lineRule="auto"/>
        <w:jc w:val="left"/>
        <w:rPr>
          <w:rFonts w:ascii="Times New Roman" w:hAnsi="Times New Roman"/>
          <w:sz w:val="24"/>
          <w:szCs w:val="24"/>
          <w:u w:val="single"/>
        </w:rPr>
      </w:pPr>
      <w:r>
        <w:rPr>
          <w:rFonts w:ascii="宋体" w:hAnsi="宋体"/>
          <w:sz w:val="24"/>
          <w:szCs w:val="24"/>
        </w:rPr>
        <w:t>法定代表人：</w:t>
      </w:r>
      <w:r>
        <w:rPr>
          <w:rFonts w:ascii="Times New Roman" w:hAnsi="Times New Roman"/>
          <w:sz w:val="24"/>
          <w:szCs w:val="24"/>
          <w:u w:val="single"/>
        </w:rPr>
        <w:t xml:space="preserve">                        </w:t>
      </w:r>
    </w:p>
    <w:p w14:paraId="528B4F6B">
      <w:pPr>
        <w:widowControl/>
        <w:adjustRightInd/>
        <w:spacing w:line="240" w:lineRule="auto"/>
        <w:jc w:val="left"/>
        <w:rPr>
          <w:rFonts w:ascii="Times New Roman" w:hAnsi="Times New Roman"/>
          <w:sz w:val="24"/>
          <w:szCs w:val="24"/>
          <w:u w:val="single"/>
        </w:rPr>
      </w:pPr>
      <w:r>
        <w:rPr>
          <w:rFonts w:ascii="宋体" w:hAnsi="宋体"/>
          <w:w w:val="65"/>
          <w:kern w:val="0"/>
          <w:sz w:val="24"/>
          <w:szCs w:val="24"/>
        </w:rPr>
        <w:t>授权人（联系人</w:t>
      </w:r>
      <w:r>
        <w:rPr>
          <w:rFonts w:ascii="宋体" w:hAnsi="宋体"/>
          <w:spacing w:val="1"/>
          <w:w w:val="65"/>
          <w:kern w:val="0"/>
          <w:sz w:val="24"/>
          <w:szCs w:val="24"/>
        </w:rPr>
        <w:t>）</w:t>
      </w:r>
      <w:r>
        <w:rPr>
          <w:rFonts w:ascii="宋体" w:hAnsi="宋体"/>
          <w:sz w:val="24"/>
          <w:szCs w:val="24"/>
        </w:rPr>
        <w:t>：</w:t>
      </w:r>
      <w:r>
        <w:rPr>
          <w:rFonts w:ascii="Times New Roman" w:hAnsi="Times New Roman"/>
          <w:sz w:val="24"/>
          <w:szCs w:val="24"/>
          <w:u w:val="single"/>
        </w:rPr>
        <w:t xml:space="preserve">                        </w:t>
      </w:r>
    </w:p>
    <w:p w14:paraId="7DFF6456">
      <w:pPr>
        <w:widowControl/>
        <w:adjustRightInd/>
        <w:spacing w:line="240" w:lineRule="auto"/>
        <w:jc w:val="left"/>
        <w:rPr>
          <w:rFonts w:ascii="Times New Roman" w:hAnsi="Times New Roman"/>
          <w:sz w:val="24"/>
          <w:szCs w:val="24"/>
          <w:u w:val="single"/>
        </w:rPr>
      </w:pPr>
      <w:r>
        <w:rPr>
          <w:rFonts w:ascii="宋体" w:hAnsi="宋体"/>
          <w:sz w:val="24"/>
          <w:szCs w:val="24"/>
        </w:rPr>
        <w:t>联系电话：</w:t>
      </w:r>
      <w:r>
        <w:rPr>
          <w:rFonts w:ascii="Times New Roman" w:hAnsi="Times New Roman"/>
          <w:sz w:val="24"/>
          <w:szCs w:val="24"/>
          <w:u w:val="single"/>
        </w:rPr>
        <w:t xml:space="preserve">                          </w:t>
      </w:r>
    </w:p>
    <w:p w14:paraId="559192DF">
      <w:pPr>
        <w:widowControl/>
        <w:adjustRightInd/>
        <w:spacing w:line="240" w:lineRule="auto"/>
        <w:jc w:val="left"/>
        <w:rPr>
          <w:rFonts w:ascii="Times New Roman" w:hAnsi="Times New Roman"/>
          <w:sz w:val="28"/>
          <w:szCs w:val="28"/>
        </w:rPr>
      </w:pPr>
      <w:r>
        <w:rPr>
          <w:rFonts w:ascii="宋体" w:hAnsi="宋体"/>
          <w:sz w:val="24"/>
          <w:szCs w:val="24"/>
        </w:rPr>
        <w:t>企业概况：</w:t>
      </w:r>
      <w:r>
        <w:rPr>
          <w:rFonts w:ascii="Times New Roman" w:hAnsi="Times New Roman"/>
          <w:sz w:val="24"/>
          <w:szCs w:val="24"/>
          <w:u w:val="single"/>
        </w:rPr>
        <w:t xml:space="preserve">                          </w:t>
      </w:r>
    </w:p>
    <w:p w14:paraId="575B23FC">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2</w:t>
      </w:r>
      <w:r>
        <w:rPr>
          <w:rFonts w:ascii="宋体" w:hAnsi="宋体"/>
          <w:b/>
          <w:bCs/>
          <w:sz w:val="24"/>
          <w:szCs w:val="24"/>
        </w:rPr>
        <w:t xml:space="preserve">、产品信息  </w:t>
      </w:r>
    </w:p>
    <w:p w14:paraId="06E91600">
      <w:pPr>
        <w:widowControl/>
        <w:adjustRightInd/>
        <w:spacing w:line="240" w:lineRule="auto"/>
        <w:jc w:val="left"/>
        <w:rPr>
          <w:rFonts w:ascii="Times New Roman" w:hAnsi="Times New Roman"/>
          <w:sz w:val="24"/>
          <w:szCs w:val="24"/>
          <w:u w:val="single"/>
        </w:rPr>
      </w:pPr>
      <w:r>
        <w:rPr>
          <w:rFonts w:ascii="宋体" w:hAnsi="宋体"/>
          <w:spacing w:val="40"/>
          <w:kern w:val="0"/>
          <w:sz w:val="24"/>
          <w:szCs w:val="24"/>
        </w:rPr>
        <w:t>产品名</w:t>
      </w:r>
      <w:r>
        <w:rPr>
          <w:rFonts w:ascii="宋体" w:hAnsi="宋体"/>
          <w:kern w:val="0"/>
          <w:sz w:val="24"/>
          <w:szCs w:val="24"/>
        </w:rPr>
        <w:t>称</w:t>
      </w:r>
      <w:r>
        <w:rPr>
          <w:rFonts w:ascii="宋体" w:hAnsi="宋体"/>
          <w:sz w:val="24"/>
          <w:szCs w:val="24"/>
        </w:rPr>
        <w:t>：</w:t>
      </w:r>
      <w:r>
        <w:rPr>
          <w:rFonts w:ascii="Times New Roman" w:hAnsi="Times New Roman"/>
          <w:sz w:val="24"/>
          <w:szCs w:val="24"/>
          <w:u w:val="single"/>
        </w:rPr>
        <w:t xml:space="preserve">                        </w:t>
      </w:r>
    </w:p>
    <w:p w14:paraId="478822A4">
      <w:pPr>
        <w:widowControl/>
        <w:adjustRightInd/>
        <w:spacing w:line="240" w:lineRule="auto"/>
        <w:jc w:val="left"/>
        <w:rPr>
          <w:rFonts w:ascii="Times New Roman" w:hAnsi="Times New Roman"/>
          <w:sz w:val="24"/>
          <w:szCs w:val="24"/>
          <w:u w:val="single"/>
        </w:rPr>
      </w:pPr>
      <w:r>
        <w:rPr>
          <w:rFonts w:ascii="宋体" w:hAnsi="宋体"/>
          <w:spacing w:val="40"/>
          <w:kern w:val="0"/>
          <w:sz w:val="24"/>
          <w:szCs w:val="24"/>
        </w:rPr>
        <w:t>产品功</w:t>
      </w:r>
      <w:r>
        <w:rPr>
          <w:rFonts w:ascii="宋体" w:hAnsi="宋体"/>
          <w:kern w:val="0"/>
          <w:sz w:val="24"/>
          <w:szCs w:val="24"/>
        </w:rPr>
        <w:t>能</w:t>
      </w:r>
      <w:r>
        <w:rPr>
          <w:rFonts w:ascii="宋体" w:hAnsi="宋体"/>
          <w:sz w:val="24"/>
          <w:szCs w:val="24"/>
        </w:rPr>
        <w:t>：</w:t>
      </w:r>
      <w:r>
        <w:rPr>
          <w:rFonts w:ascii="Times New Roman" w:hAnsi="Times New Roman"/>
          <w:sz w:val="24"/>
          <w:szCs w:val="24"/>
          <w:u w:val="single"/>
        </w:rPr>
        <w:t xml:space="preserve">                        </w:t>
      </w:r>
    </w:p>
    <w:p w14:paraId="1D070F52">
      <w:pPr>
        <w:widowControl/>
        <w:adjustRightInd/>
        <w:spacing w:line="240" w:lineRule="auto"/>
        <w:jc w:val="left"/>
        <w:rPr>
          <w:rFonts w:ascii="Times New Roman" w:hAnsi="Times New Roman"/>
          <w:sz w:val="24"/>
          <w:szCs w:val="24"/>
          <w:u w:val="single"/>
        </w:rPr>
      </w:pPr>
      <w:r>
        <w:rPr>
          <w:rFonts w:ascii="宋体" w:hAnsi="宋体"/>
          <w:spacing w:val="40"/>
          <w:kern w:val="0"/>
          <w:sz w:val="24"/>
          <w:szCs w:val="24"/>
        </w:rPr>
        <w:t>产品介</w:t>
      </w:r>
      <w:r>
        <w:rPr>
          <w:rFonts w:ascii="宋体" w:hAnsi="宋体"/>
          <w:kern w:val="0"/>
          <w:sz w:val="24"/>
          <w:szCs w:val="24"/>
        </w:rPr>
        <w:t>绍</w:t>
      </w:r>
      <w:r>
        <w:rPr>
          <w:rFonts w:ascii="宋体" w:hAnsi="宋体"/>
          <w:sz w:val="24"/>
          <w:szCs w:val="24"/>
        </w:rPr>
        <w:t>：</w:t>
      </w:r>
      <w:r>
        <w:rPr>
          <w:rFonts w:ascii="Times New Roman" w:hAnsi="Times New Roman"/>
          <w:sz w:val="24"/>
          <w:szCs w:val="24"/>
          <w:u w:val="single"/>
        </w:rPr>
        <w:t xml:space="preserve">                        </w:t>
      </w:r>
    </w:p>
    <w:p w14:paraId="2481E465">
      <w:pPr>
        <w:widowControl/>
        <w:adjustRightInd/>
        <w:spacing w:line="240" w:lineRule="auto"/>
        <w:jc w:val="left"/>
        <w:rPr>
          <w:rFonts w:ascii="Times New Roman" w:hAnsi="Times New Roman"/>
          <w:sz w:val="24"/>
          <w:szCs w:val="24"/>
          <w:u w:val="single"/>
        </w:rPr>
      </w:pPr>
      <w:r>
        <w:rPr>
          <w:rFonts w:ascii="宋体" w:hAnsi="宋体"/>
          <w:spacing w:val="40"/>
          <w:kern w:val="0"/>
          <w:sz w:val="24"/>
          <w:szCs w:val="24"/>
        </w:rPr>
        <w:t>产品图</w:t>
      </w:r>
      <w:r>
        <w:rPr>
          <w:rFonts w:ascii="宋体" w:hAnsi="宋体"/>
          <w:kern w:val="0"/>
          <w:sz w:val="24"/>
          <w:szCs w:val="24"/>
        </w:rPr>
        <w:t>片</w:t>
      </w:r>
      <w:r>
        <w:rPr>
          <w:rFonts w:ascii="宋体" w:hAnsi="宋体"/>
          <w:sz w:val="24"/>
          <w:szCs w:val="24"/>
        </w:rPr>
        <w:t>：</w:t>
      </w:r>
      <w:r>
        <w:rPr>
          <w:rFonts w:ascii="Times New Roman" w:hAnsi="Times New Roman"/>
          <w:sz w:val="24"/>
          <w:szCs w:val="24"/>
          <w:u w:val="single"/>
        </w:rPr>
        <w:t xml:space="preserve">                        </w:t>
      </w:r>
    </w:p>
    <w:p w14:paraId="299A6FA2">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3</w:t>
      </w:r>
      <w:r>
        <w:rPr>
          <w:rFonts w:ascii="宋体" w:hAnsi="宋体"/>
          <w:b/>
          <w:bCs/>
          <w:sz w:val="24"/>
          <w:szCs w:val="24"/>
        </w:rPr>
        <w:t>、量化方法</w:t>
      </w:r>
    </w:p>
    <w:p w14:paraId="24D1350B">
      <w:pPr>
        <w:widowControl/>
        <w:adjustRightInd/>
        <w:spacing w:line="240" w:lineRule="auto"/>
        <w:jc w:val="left"/>
        <w:rPr>
          <w:rFonts w:ascii="Times New Roman" w:hAnsi="Times New Roman"/>
          <w:sz w:val="24"/>
          <w:szCs w:val="24"/>
          <w:u w:val="single"/>
        </w:rPr>
      </w:pPr>
      <w:r>
        <w:rPr>
          <w:rFonts w:ascii="宋体" w:hAnsi="宋体"/>
          <w:spacing w:val="40"/>
          <w:kern w:val="0"/>
          <w:sz w:val="24"/>
          <w:szCs w:val="24"/>
        </w:rPr>
        <w:t>依据标</w:t>
      </w:r>
      <w:r>
        <w:rPr>
          <w:rFonts w:ascii="宋体" w:hAnsi="宋体"/>
          <w:kern w:val="0"/>
          <w:sz w:val="24"/>
          <w:szCs w:val="24"/>
        </w:rPr>
        <w:t>准</w:t>
      </w:r>
      <w:r>
        <w:rPr>
          <w:rFonts w:ascii="宋体" w:hAnsi="宋体"/>
          <w:sz w:val="24"/>
          <w:szCs w:val="24"/>
        </w:rPr>
        <w:t>：</w:t>
      </w:r>
      <w:r>
        <w:rPr>
          <w:rFonts w:ascii="Times New Roman" w:hAnsi="Times New Roman"/>
          <w:sz w:val="24"/>
          <w:szCs w:val="24"/>
          <w:u w:val="single"/>
        </w:rPr>
        <w:t xml:space="preserve">                      </w:t>
      </w:r>
    </w:p>
    <w:p w14:paraId="40BF8778">
      <w:pPr>
        <w:widowControl/>
        <w:adjustRightInd/>
        <w:spacing w:before="120" w:beforeLines="50" w:after="120" w:afterLines="50" w:line="360" w:lineRule="auto"/>
        <w:jc w:val="left"/>
        <w:rPr>
          <w:rFonts w:ascii="Times New Roman" w:hAnsi="Times New Roman"/>
          <w:b/>
          <w:bCs/>
          <w:sz w:val="28"/>
          <w:szCs w:val="28"/>
        </w:rPr>
      </w:pPr>
      <w:r>
        <w:rPr>
          <w:rFonts w:ascii="宋体" w:hAnsi="宋体"/>
          <w:b/>
          <w:bCs/>
          <w:sz w:val="28"/>
          <w:szCs w:val="28"/>
        </w:rPr>
        <w:t>二、量化目的</w:t>
      </w:r>
    </w:p>
    <w:p w14:paraId="16E8E34E">
      <w:pPr>
        <w:widowControl/>
        <w:adjustRightInd/>
        <w:spacing w:before="120" w:beforeLines="50" w:after="120" w:afterLines="50" w:line="240" w:lineRule="auto"/>
        <w:jc w:val="left"/>
        <w:rPr>
          <w:rFonts w:ascii="Times New Roman" w:hAnsi="Times New Roman"/>
          <w:b/>
          <w:bCs/>
          <w:sz w:val="28"/>
          <w:szCs w:val="28"/>
        </w:rPr>
      </w:pPr>
      <w:r>
        <w:rPr>
          <w:rFonts w:ascii="Times New Roman" w:hAnsi="Times New Roman"/>
          <w:sz w:val="24"/>
          <w:szCs w:val="24"/>
          <w:u w:val="single"/>
        </w:rPr>
        <w:t xml:space="preserve">                                                                      </w:t>
      </w:r>
    </w:p>
    <w:p w14:paraId="542F6409">
      <w:pPr>
        <w:widowControl/>
        <w:adjustRightInd/>
        <w:spacing w:before="120" w:beforeLines="50" w:after="120" w:afterLines="50" w:line="360" w:lineRule="auto"/>
        <w:jc w:val="left"/>
        <w:rPr>
          <w:rFonts w:ascii="Times New Roman" w:hAnsi="Times New Roman"/>
          <w:b/>
          <w:bCs/>
          <w:sz w:val="28"/>
          <w:szCs w:val="28"/>
        </w:rPr>
      </w:pPr>
      <w:r>
        <w:rPr>
          <w:rFonts w:ascii="宋体" w:hAnsi="宋体"/>
          <w:b/>
          <w:bCs/>
          <w:sz w:val="28"/>
          <w:szCs w:val="28"/>
        </w:rPr>
        <w:t>三、量化范围</w:t>
      </w:r>
    </w:p>
    <w:p w14:paraId="7D3EFC0D">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1</w:t>
      </w:r>
      <w:r>
        <w:rPr>
          <w:rFonts w:ascii="宋体" w:hAnsi="宋体"/>
          <w:b/>
          <w:bCs/>
          <w:sz w:val="24"/>
          <w:szCs w:val="24"/>
        </w:rPr>
        <w:t>、功能单位或声明单位</w:t>
      </w:r>
    </w:p>
    <w:p w14:paraId="0EDD3E38">
      <w:pPr>
        <w:widowControl/>
        <w:adjustRightInd/>
        <w:spacing w:line="240" w:lineRule="auto"/>
        <w:ind w:firstLine="420" w:firstLineChars="200"/>
        <w:jc w:val="left"/>
        <w:rPr>
          <w:rFonts w:ascii="Times New Roman" w:hAnsi="Times New Roman"/>
          <w:sz w:val="24"/>
          <w:szCs w:val="24"/>
        </w:rPr>
      </w:pPr>
      <w:r>
        <w:rPr>
          <w:rFonts w:ascii="宋体" w:hAnsi="宋体"/>
        </w:rPr>
        <w:t>以</w:t>
      </w:r>
      <w:r>
        <w:rPr>
          <w:rFonts w:ascii="Times New Roman" w:hAnsi="Times New Roman"/>
          <w:sz w:val="24"/>
          <w:szCs w:val="24"/>
          <w:u w:val="single"/>
        </w:rPr>
        <w:t xml:space="preserve">                    </w:t>
      </w:r>
      <w:r>
        <w:rPr>
          <w:rFonts w:ascii="宋体" w:hAnsi="宋体"/>
          <w:sz w:val="24"/>
          <w:szCs w:val="24"/>
        </w:rPr>
        <w:t>为功能单位或声明单位。</w:t>
      </w:r>
    </w:p>
    <w:p w14:paraId="1DE1A63E">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2</w:t>
      </w:r>
      <w:r>
        <w:rPr>
          <w:rFonts w:ascii="宋体" w:hAnsi="宋体"/>
          <w:b/>
          <w:bCs/>
          <w:sz w:val="24"/>
          <w:szCs w:val="24"/>
        </w:rPr>
        <w:t>、系统边界</w:t>
      </w:r>
    </w:p>
    <w:p w14:paraId="578F8B76">
      <w:pPr>
        <w:widowControl/>
        <w:adjustRightInd/>
        <w:spacing w:line="240" w:lineRule="auto"/>
        <w:ind w:firstLine="480" w:firstLineChars="200"/>
        <w:jc w:val="left"/>
        <w:rPr>
          <w:rFonts w:ascii="Times New Roman" w:hAnsi="Times New Roman"/>
          <w:sz w:val="24"/>
          <w:szCs w:val="24"/>
        </w:rPr>
      </w:pPr>
      <w:r>
        <w:rPr>
          <w:rFonts w:ascii="宋体" w:hAnsi="宋体"/>
          <w:sz w:val="24"/>
          <w:szCs w:val="24"/>
        </w:rPr>
        <w:t>原材料获取阶段</w:t>
      </w:r>
      <w:r>
        <w:rPr>
          <w:rFonts w:hint="eastAsia" w:ascii="宋体" w:hAnsi="宋体"/>
          <w:sz w:val="24"/>
          <w:szCs w:val="24"/>
        </w:rPr>
        <w:t>、</w:t>
      </w:r>
      <w:r>
        <w:rPr>
          <w:rFonts w:ascii="宋体" w:hAnsi="宋体"/>
          <w:sz w:val="24"/>
          <w:szCs w:val="24"/>
        </w:rPr>
        <w:t>生产</w:t>
      </w:r>
      <w:r>
        <w:rPr>
          <w:rFonts w:hint="eastAsia" w:ascii="宋体" w:hAnsi="宋体"/>
          <w:sz w:val="24"/>
          <w:szCs w:val="24"/>
        </w:rPr>
        <w:t>制造</w:t>
      </w:r>
      <w:r>
        <w:rPr>
          <w:rFonts w:ascii="宋体" w:hAnsi="宋体"/>
          <w:sz w:val="24"/>
          <w:szCs w:val="24"/>
        </w:rPr>
        <w:t>阶段</w:t>
      </w:r>
      <w:r>
        <w:rPr>
          <w:rFonts w:hint="eastAsia" w:ascii="宋体" w:hAnsi="宋体"/>
          <w:sz w:val="24"/>
          <w:szCs w:val="24"/>
        </w:rPr>
        <w:t>、</w:t>
      </w:r>
      <w:r>
        <w:rPr>
          <w:rFonts w:ascii="宋体" w:hAnsi="宋体"/>
          <w:sz w:val="24"/>
          <w:szCs w:val="24"/>
        </w:rPr>
        <w:t>交付运输阶段</w:t>
      </w:r>
      <w:r>
        <w:rPr>
          <w:rFonts w:hint="eastAsia" w:ascii="宋体" w:hAnsi="宋体"/>
          <w:sz w:val="24"/>
          <w:szCs w:val="24"/>
        </w:rPr>
        <w:t>、使用阶段、回收处置阶段</w:t>
      </w:r>
      <w:r>
        <w:rPr>
          <w:rFonts w:ascii="宋体" w:hAnsi="宋体"/>
          <w:sz w:val="24"/>
          <w:szCs w:val="24"/>
        </w:rPr>
        <w:t>系统边界图：</w:t>
      </w:r>
    </w:p>
    <w:p w14:paraId="11C8FD14">
      <w:pPr>
        <w:widowControl/>
        <w:adjustRightInd/>
        <w:spacing w:line="240" w:lineRule="auto"/>
        <w:jc w:val="left"/>
        <w:rPr>
          <w:rFonts w:ascii="Times New Roman" w:hAnsi="Times New Roman"/>
          <w:sz w:val="24"/>
          <w:szCs w:val="24"/>
        </w:rPr>
      </w:pPr>
      <w:r>
        <w:rPr>
          <w:rFonts w:ascii="Times New Roman" w:hAnsi="Times New Roman"/>
          <w:sz w:val="24"/>
          <w:szCs w:val="24"/>
        </w:rPr>
        <w:t xml:space="preserve"> </w:t>
      </w:r>
    </w:p>
    <w:p w14:paraId="09325582">
      <w:pPr>
        <w:widowControl/>
        <w:adjustRightInd/>
        <w:spacing w:line="240" w:lineRule="auto"/>
        <w:jc w:val="center"/>
        <w:rPr>
          <w:rFonts w:ascii="Times New Roman" w:hAnsi="Times New Roman"/>
          <w:sz w:val="24"/>
          <w:szCs w:val="24"/>
        </w:rPr>
      </w:pPr>
      <w:r>
        <w:rPr>
          <w:rFonts w:ascii="宋体" w:hAnsi="宋体"/>
          <w:sz w:val="24"/>
          <w:szCs w:val="24"/>
        </w:rPr>
        <w:t>图</w:t>
      </w:r>
      <w:r>
        <w:rPr>
          <w:rFonts w:ascii="Times New Roman" w:hAnsi="Times New Roman"/>
          <w:sz w:val="24"/>
          <w:szCs w:val="24"/>
        </w:rPr>
        <w:t>1  **</w:t>
      </w:r>
      <w:r>
        <w:rPr>
          <w:rFonts w:ascii="宋体" w:hAnsi="宋体"/>
          <w:sz w:val="24"/>
          <w:szCs w:val="24"/>
        </w:rPr>
        <w:t>产品碳足迹量化系统边界图</w:t>
      </w:r>
    </w:p>
    <w:p w14:paraId="6A9DEEF5">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3</w:t>
      </w:r>
      <w:r>
        <w:rPr>
          <w:rFonts w:ascii="宋体" w:hAnsi="宋体"/>
          <w:b/>
          <w:bCs/>
          <w:sz w:val="24"/>
          <w:szCs w:val="24"/>
        </w:rPr>
        <w:t>、取舍准则</w:t>
      </w:r>
    </w:p>
    <w:p w14:paraId="29ED568B">
      <w:pPr>
        <w:widowControl/>
        <w:adjustRightInd/>
        <w:spacing w:line="240" w:lineRule="auto"/>
        <w:ind w:firstLine="480" w:firstLineChars="200"/>
        <w:jc w:val="left"/>
        <w:rPr>
          <w:rFonts w:ascii="Times New Roman" w:hAnsi="Times New Roman"/>
          <w:sz w:val="24"/>
          <w:szCs w:val="24"/>
        </w:rPr>
      </w:pPr>
      <w:r>
        <w:rPr>
          <w:rFonts w:ascii="宋体" w:hAnsi="宋体"/>
          <w:sz w:val="24"/>
          <w:szCs w:val="24"/>
        </w:rPr>
        <w:t>采用的取舍准则以</w:t>
      </w:r>
      <w:r>
        <w:rPr>
          <w:rFonts w:ascii="Times New Roman" w:hAnsi="Times New Roman"/>
          <w:sz w:val="24"/>
          <w:szCs w:val="24"/>
          <w:u w:val="single"/>
        </w:rPr>
        <w:t xml:space="preserve">                    </w:t>
      </w:r>
      <w:r>
        <w:rPr>
          <w:rFonts w:ascii="宋体" w:hAnsi="宋体"/>
          <w:sz w:val="24"/>
          <w:szCs w:val="24"/>
        </w:rPr>
        <w:t>为依据，具体规则如下：</w:t>
      </w:r>
    </w:p>
    <w:p w14:paraId="3A32A124">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4</w:t>
      </w:r>
      <w:r>
        <w:rPr>
          <w:rFonts w:ascii="宋体" w:hAnsi="宋体"/>
          <w:b/>
          <w:bCs/>
          <w:sz w:val="24"/>
          <w:szCs w:val="24"/>
        </w:rPr>
        <w:t>、时间范围</w:t>
      </w:r>
    </w:p>
    <w:p w14:paraId="7FF9937E">
      <w:pPr>
        <w:widowControl/>
        <w:adjustRightInd/>
        <w:spacing w:line="240" w:lineRule="auto"/>
        <w:ind w:firstLine="480" w:firstLineChars="200"/>
        <w:jc w:val="left"/>
        <w:rPr>
          <w:rFonts w:ascii="Times New Roman" w:hAnsi="Times New Roman"/>
          <w:sz w:val="24"/>
          <w:szCs w:val="24"/>
        </w:rPr>
      </w:pPr>
      <w:r>
        <w:rPr>
          <w:rFonts w:ascii="Times New Roman" w:hAnsi="Times New Roman"/>
          <w:sz w:val="24"/>
          <w:szCs w:val="24"/>
          <w:u w:val="single"/>
        </w:rPr>
        <w:t xml:space="preserve">       </w:t>
      </w:r>
      <w:r>
        <w:rPr>
          <w:rFonts w:ascii="宋体" w:hAnsi="宋体"/>
          <w:sz w:val="24"/>
          <w:szCs w:val="24"/>
        </w:rPr>
        <w:t>年度。</w:t>
      </w:r>
    </w:p>
    <w:p w14:paraId="131E0FB6">
      <w:pPr>
        <w:widowControl/>
        <w:adjustRightInd/>
        <w:spacing w:before="120" w:beforeLines="50" w:after="120" w:afterLines="50" w:line="360" w:lineRule="auto"/>
        <w:jc w:val="left"/>
        <w:rPr>
          <w:rFonts w:ascii="Times New Roman" w:hAnsi="Times New Roman"/>
          <w:b/>
          <w:bCs/>
          <w:sz w:val="28"/>
          <w:szCs w:val="28"/>
        </w:rPr>
      </w:pPr>
      <w:r>
        <w:rPr>
          <w:rFonts w:ascii="宋体" w:hAnsi="宋体"/>
          <w:b/>
          <w:bCs/>
          <w:sz w:val="28"/>
          <w:szCs w:val="28"/>
        </w:rPr>
        <w:t>四、清单分析</w:t>
      </w:r>
    </w:p>
    <w:p w14:paraId="360EB659">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1</w:t>
      </w:r>
      <w:r>
        <w:rPr>
          <w:rFonts w:ascii="宋体" w:hAnsi="宋体"/>
          <w:b/>
          <w:bCs/>
          <w:sz w:val="24"/>
          <w:szCs w:val="24"/>
        </w:rPr>
        <w:t>、数据来源说明</w:t>
      </w:r>
    </w:p>
    <w:p w14:paraId="79702478">
      <w:pPr>
        <w:widowControl/>
        <w:adjustRightInd/>
        <w:spacing w:line="240" w:lineRule="auto"/>
        <w:ind w:firstLine="640" w:firstLineChars="200"/>
        <w:jc w:val="left"/>
        <w:rPr>
          <w:rFonts w:ascii="Times New Roman" w:hAnsi="Times New Roman"/>
          <w:sz w:val="24"/>
          <w:szCs w:val="24"/>
          <w:u w:val="single"/>
        </w:rPr>
      </w:pPr>
      <w:r>
        <w:rPr>
          <w:rFonts w:ascii="宋体" w:hAnsi="宋体"/>
          <w:spacing w:val="40"/>
          <w:kern w:val="0"/>
          <w:sz w:val="24"/>
          <w:szCs w:val="24"/>
        </w:rPr>
        <w:t>初级数</w:t>
      </w:r>
      <w:r>
        <w:rPr>
          <w:rFonts w:ascii="宋体" w:hAnsi="宋体"/>
          <w:kern w:val="0"/>
          <w:sz w:val="24"/>
          <w:szCs w:val="24"/>
        </w:rPr>
        <w:t>据</w:t>
      </w:r>
      <w:r>
        <w:rPr>
          <w:rFonts w:ascii="宋体" w:hAnsi="宋体"/>
          <w:sz w:val="24"/>
          <w:szCs w:val="24"/>
        </w:rPr>
        <w:t>：</w:t>
      </w:r>
      <w:r>
        <w:rPr>
          <w:rFonts w:ascii="Times New Roman" w:hAnsi="Times New Roman"/>
          <w:sz w:val="24"/>
          <w:szCs w:val="24"/>
          <w:u w:val="single"/>
        </w:rPr>
        <w:t xml:space="preserve">              </w:t>
      </w:r>
      <w:r>
        <w:rPr>
          <w:rFonts w:ascii="宋体" w:hAnsi="宋体"/>
          <w:sz w:val="24"/>
          <w:szCs w:val="24"/>
        </w:rPr>
        <w:t>；</w:t>
      </w:r>
    </w:p>
    <w:p w14:paraId="75B8ECFB">
      <w:pPr>
        <w:widowControl/>
        <w:adjustRightInd/>
        <w:spacing w:line="240" w:lineRule="auto"/>
        <w:ind w:firstLine="640" w:firstLineChars="200"/>
        <w:jc w:val="left"/>
        <w:rPr>
          <w:rFonts w:ascii="Times New Roman" w:hAnsi="Times New Roman"/>
          <w:sz w:val="24"/>
          <w:szCs w:val="24"/>
        </w:rPr>
      </w:pPr>
      <w:r>
        <w:rPr>
          <w:rFonts w:ascii="宋体" w:hAnsi="宋体"/>
          <w:spacing w:val="40"/>
          <w:kern w:val="0"/>
          <w:sz w:val="24"/>
          <w:szCs w:val="24"/>
        </w:rPr>
        <w:t>次级数</w:t>
      </w:r>
      <w:r>
        <w:rPr>
          <w:rFonts w:ascii="宋体" w:hAnsi="宋体"/>
          <w:kern w:val="0"/>
          <w:sz w:val="24"/>
          <w:szCs w:val="24"/>
        </w:rPr>
        <w:t>据</w:t>
      </w:r>
      <w:r>
        <w:rPr>
          <w:rFonts w:ascii="宋体" w:hAnsi="宋体"/>
          <w:sz w:val="24"/>
          <w:szCs w:val="24"/>
        </w:rPr>
        <w:t>：</w:t>
      </w:r>
      <w:r>
        <w:rPr>
          <w:rFonts w:ascii="Times New Roman" w:hAnsi="Times New Roman"/>
          <w:sz w:val="24"/>
          <w:szCs w:val="24"/>
          <w:u w:val="single"/>
        </w:rPr>
        <w:t xml:space="preserve">              </w:t>
      </w:r>
      <w:r>
        <w:rPr>
          <w:rFonts w:ascii="宋体" w:hAnsi="宋体"/>
          <w:sz w:val="24"/>
          <w:szCs w:val="24"/>
        </w:rPr>
        <w:t>。</w:t>
      </w:r>
    </w:p>
    <w:p w14:paraId="5FA79EAA">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2</w:t>
      </w:r>
      <w:r>
        <w:rPr>
          <w:rFonts w:ascii="宋体" w:hAnsi="宋体"/>
          <w:b/>
          <w:bCs/>
          <w:sz w:val="24"/>
          <w:szCs w:val="24"/>
        </w:rPr>
        <w:t>、分配原则与程序</w:t>
      </w:r>
    </w:p>
    <w:p w14:paraId="0F01E2DF">
      <w:pPr>
        <w:widowControl/>
        <w:adjustRightInd/>
        <w:spacing w:line="240" w:lineRule="auto"/>
        <w:ind w:firstLine="640" w:firstLineChars="200"/>
        <w:rPr>
          <w:rFonts w:ascii="Times New Roman" w:hAnsi="Times New Roman"/>
          <w:sz w:val="24"/>
          <w:szCs w:val="24"/>
        </w:rPr>
      </w:pPr>
      <w:r>
        <w:rPr>
          <w:rFonts w:ascii="宋体" w:hAnsi="宋体"/>
          <w:spacing w:val="40"/>
          <w:kern w:val="0"/>
          <w:sz w:val="24"/>
          <w:szCs w:val="24"/>
        </w:rPr>
        <w:t>分配依</w:t>
      </w:r>
      <w:r>
        <w:rPr>
          <w:rFonts w:ascii="宋体" w:hAnsi="宋体"/>
          <w:kern w:val="0"/>
          <w:sz w:val="24"/>
          <w:szCs w:val="24"/>
        </w:rPr>
        <w:t>据</w:t>
      </w:r>
      <w:r>
        <w:rPr>
          <w:rFonts w:ascii="宋体" w:hAnsi="宋体"/>
          <w:sz w:val="24"/>
          <w:szCs w:val="24"/>
        </w:rPr>
        <w:t>：</w:t>
      </w:r>
      <w:r>
        <w:rPr>
          <w:rFonts w:ascii="Times New Roman" w:hAnsi="Times New Roman"/>
          <w:sz w:val="24"/>
          <w:szCs w:val="24"/>
          <w:u w:val="single"/>
        </w:rPr>
        <w:t xml:space="preserve">              </w:t>
      </w:r>
      <w:r>
        <w:rPr>
          <w:rFonts w:ascii="宋体" w:hAnsi="宋体"/>
          <w:sz w:val="24"/>
          <w:szCs w:val="24"/>
        </w:rPr>
        <w:t>；</w:t>
      </w:r>
    </w:p>
    <w:p w14:paraId="7C2AD2A2">
      <w:pPr>
        <w:widowControl/>
        <w:adjustRightInd/>
        <w:spacing w:line="240" w:lineRule="auto"/>
        <w:ind w:firstLine="640" w:firstLineChars="200"/>
        <w:jc w:val="left"/>
        <w:rPr>
          <w:rFonts w:ascii="Times New Roman" w:hAnsi="Times New Roman"/>
          <w:sz w:val="24"/>
          <w:szCs w:val="24"/>
        </w:rPr>
      </w:pPr>
      <w:r>
        <w:rPr>
          <w:rFonts w:ascii="宋体" w:hAnsi="宋体"/>
          <w:spacing w:val="40"/>
          <w:kern w:val="0"/>
          <w:sz w:val="24"/>
          <w:szCs w:val="24"/>
        </w:rPr>
        <w:t>分配程</w:t>
      </w:r>
      <w:r>
        <w:rPr>
          <w:rFonts w:ascii="宋体" w:hAnsi="宋体"/>
          <w:kern w:val="0"/>
          <w:sz w:val="24"/>
          <w:szCs w:val="24"/>
        </w:rPr>
        <w:t>序</w:t>
      </w:r>
      <w:r>
        <w:rPr>
          <w:rFonts w:ascii="宋体" w:hAnsi="宋体"/>
          <w:sz w:val="24"/>
          <w:szCs w:val="24"/>
        </w:rPr>
        <w:t>：</w:t>
      </w:r>
      <w:r>
        <w:rPr>
          <w:rFonts w:ascii="Times New Roman" w:hAnsi="Times New Roman"/>
          <w:sz w:val="24"/>
          <w:szCs w:val="24"/>
          <w:u w:val="single"/>
        </w:rPr>
        <w:t xml:space="preserve">              </w:t>
      </w:r>
      <w:r>
        <w:rPr>
          <w:rFonts w:ascii="宋体" w:hAnsi="宋体"/>
          <w:sz w:val="24"/>
          <w:szCs w:val="24"/>
        </w:rPr>
        <w:t>。</w:t>
      </w:r>
    </w:p>
    <w:p w14:paraId="10B6EF0B">
      <w:pPr>
        <w:widowControl/>
        <w:adjustRightInd/>
        <w:spacing w:line="240" w:lineRule="auto"/>
        <w:ind w:firstLine="480" w:firstLineChars="200"/>
        <w:rPr>
          <w:rFonts w:ascii="Times New Roman" w:hAnsi="Times New Roman"/>
          <w:sz w:val="24"/>
          <w:szCs w:val="24"/>
        </w:rPr>
      </w:pPr>
      <w:r>
        <w:rPr>
          <w:rFonts w:ascii="宋体" w:hAnsi="宋体"/>
          <w:sz w:val="24"/>
          <w:szCs w:val="24"/>
        </w:rPr>
        <w:t>具体分配情况如下：</w:t>
      </w:r>
    </w:p>
    <w:p w14:paraId="0A72A504">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3</w:t>
      </w:r>
      <w:r>
        <w:rPr>
          <w:rFonts w:ascii="宋体" w:hAnsi="宋体"/>
          <w:b/>
          <w:bCs/>
          <w:sz w:val="24"/>
          <w:szCs w:val="24"/>
        </w:rPr>
        <w:t>、清单结果及计算</w:t>
      </w:r>
    </w:p>
    <w:p w14:paraId="661645B7">
      <w:pPr>
        <w:widowControl/>
        <w:adjustRightInd/>
        <w:spacing w:line="240" w:lineRule="auto"/>
        <w:ind w:firstLine="480" w:firstLineChars="200"/>
        <w:jc w:val="left"/>
        <w:rPr>
          <w:rFonts w:ascii="Times New Roman" w:hAnsi="Times New Roman"/>
          <w:sz w:val="24"/>
          <w:szCs w:val="24"/>
        </w:rPr>
      </w:pPr>
      <w:r>
        <w:rPr>
          <w:rFonts w:ascii="宋体" w:hAnsi="宋体"/>
          <w:sz w:val="24"/>
          <w:szCs w:val="24"/>
        </w:rPr>
        <w:t>生命周期各个阶段碳排放计算</w:t>
      </w:r>
      <w:r>
        <w:rPr>
          <w:rFonts w:hint="eastAsia" w:ascii="宋体" w:hAnsi="宋体"/>
          <w:sz w:val="24"/>
          <w:szCs w:val="24"/>
        </w:rPr>
        <w:t>清单</w:t>
      </w:r>
      <w:r>
        <w:rPr>
          <w:rFonts w:ascii="宋体" w:hAnsi="宋体"/>
          <w:sz w:val="24"/>
          <w:szCs w:val="24"/>
        </w:rPr>
        <w:t>说明见表</w:t>
      </w:r>
      <w:r>
        <w:rPr>
          <w:rFonts w:ascii="Times New Roman" w:hAnsi="Times New Roman"/>
          <w:sz w:val="24"/>
          <w:szCs w:val="24"/>
        </w:rPr>
        <w:t>1</w:t>
      </w:r>
      <w:r>
        <w:rPr>
          <w:rFonts w:ascii="宋体" w:hAnsi="宋体"/>
          <w:sz w:val="24"/>
          <w:szCs w:val="24"/>
        </w:rPr>
        <w:t>。</w:t>
      </w:r>
    </w:p>
    <w:p w14:paraId="3DAB7224">
      <w:pPr>
        <w:pStyle w:val="77"/>
        <w:spacing w:before="120" w:after="120"/>
        <w:rPr>
          <w:rFonts w:ascii="Times New Roman"/>
        </w:rPr>
      </w:pPr>
      <w:r>
        <w:rPr>
          <w:rFonts w:hint="eastAsia" w:ascii="Times New Roman"/>
        </w:rPr>
        <w:t>**</w:t>
      </w:r>
      <w:r>
        <w:rPr>
          <w:rFonts w:hint="eastAsia"/>
        </w:rPr>
        <w:t>产品</w:t>
      </w:r>
      <w:r>
        <w:t>生命周期</w:t>
      </w:r>
      <w:r>
        <w:rPr>
          <w:rFonts w:hint="eastAsia"/>
        </w:rPr>
        <w:t>碳</w:t>
      </w:r>
      <w:r>
        <w:t>排放清单说明</w:t>
      </w:r>
    </w:p>
    <w:tbl>
      <w:tblPr>
        <w:tblStyle w:val="230"/>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08"/>
        <w:gridCol w:w="1400"/>
        <w:gridCol w:w="1432"/>
        <w:gridCol w:w="1700"/>
        <w:gridCol w:w="1965"/>
        <w:gridCol w:w="1965"/>
      </w:tblGrid>
      <w:tr w14:paraId="4ED6D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79" w:type="pct"/>
            <w:tcBorders>
              <w:top w:val="single" w:color="000000" w:sz="4" w:space="0"/>
              <w:left w:val="single" w:color="000000" w:sz="4" w:space="0"/>
              <w:bottom w:val="single" w:color="000000" w:sz="4" w:space="0"/>
              <w:right w:val="single" w:color="000000" w:sz="4" w:space="0"/>
            </w:tcBorders>
            <w:vAlign w:val="center"/>
          </w:tcPr>
          <w:p w14:paraId="75572982">
            <w:pPr>
              <w:widowControl/>
              <w:adjustRightInd/>
              <w:spacing w:line="240" w:lineRule="auto"/>
              <w:jc w:val="center"/>
              <w:rPr>
                <w:rFonts w:ascii="宋体" w:hAnsi="宋体"/>
                <w:sz w:val="18"/>
                <w:szCs w:val="18"/>
              </w:rPr>
            </w:pPr>
            <w:r>
              <w:rPr>
                <w:rFonts w:ascii="宋体" w:hAnsi="宋体"/>
                <w:sz w:val="18"/>
                <w:szCs w:val="18"/>
              </w:rPr>
              <w:t>生命周期阶段</w:t>
            </w:r>
          </w:p>
        </w:tc>
        <w:tc>
          <w:tcPr>
            <w:tcW w:w="731" w:type="pct"/>
            <w:tcBorders>
              <w:top w:val="single" w:color="000000" w:sz="4" w:space="0"/>
              <w:left w:val="single" w:color="000000" w:sz="4" w:space="0"/>
              <w:bottom w:val="single" w:color="000000" w:sz="4" w:space="0"/>
              <w:right w:val="single" w:color="000000" w:sz="4" w:space="0"/>
            </w:tcBorders>
            <w:vAlign w:val="center"/>
          </w:tcPr>
          <w:p w14:paraId="45A56C7E">
            <w:pPr>
              <w:widowControl/>
              <w:adjustRightInd/>
              <w:spacing w:line="240" w:lineRule="auto"/>
              <w:jc w:val="center"/>
              <w:rPr>
                <w:rFonts w:ascii="宋体" w:hAnsi="宋体"/>
                <w:sz w:val="18"/>
                <w:szCs w:val="18"/>
              </w:rPr>
            </w:pPr>
            <w:r>
              <w:rPr>
                <w:rFonts w:hint="eastAsia" w:ascii="宋体" w:hAnsi="宋体"/>
                <w:sz w:val="18"/>
                <w:szCs w:val="18"/>
              </w:rPr>
              <w:t>物料项</w:t>
            </w:r>
          </w:p>
        </w:tc>
        <w:tc>
          <w:tcPr>
            <w:tcW w:w="748" w:type="pct"/>
            <w:tcBorders>
              <w:top w:val="single" w:color="000000" w:sz="4" w:space="0"/>
              <w:left w:val="single" w:color="000000" w:sz="4" w:space="0"/>
              <w:bottom w:val="single" w:color="000000" w:sz="4" w:space="0"/>
              <w:right w:val="single" w:color="000000" w:sz="4" w:space="0"/>
            </w:tcBorders>
            <w:vAlign w:val="center"/>
          </w:tcPr>
          <w:p w14:paraId="663F3B98">
            <w:pPr>
              <w:widowControl/>
              <w:adjustRightInd/>
              <w:spacing w:line="240" w:lineRule="auto"/>
              <w:jc w:val="center"/>
              <w:rPr>
                <w:rFonts w:ascii="宋体" w:hAnsi="宋体"/>
                <w:sz w:val="18"/>
                <w:szCs w:val="18"/>
              </w:rPr>
            </w:pPr>
            <w:r>
              <w:rPr>
                <w:rFonts w:hint="eastAsia" w:ascii="宋体" w:hAnsi="宋体"/>
                <w:sz w:val="18"/>
                <w:szCs w:val="18"/>
              </w:rPr>
              <w:t>类别</w:t>
            </w:r>
          </w:p>
        </w:tc>
        <w:tc>
          <w:tcPr>
            <w:tcW w:w="888" w:type="pct"/>
            <w:tcBorders>
              <w:top w:val="single" w:color="000000" w:sz="4" w:space="0"/>
              <w:left w:val="single" w:color="000000" w:sz="4" w:space="0"/>
              <w:bottom w:val="single" w:color="000000" w:sz="4" w:space="0"/>
              <w:right w:val="single" w:color="000000" w:sz="4" w:space="0"/>
            </w:tcBorders>
            <w:vAlign w:val="center"/>
          </w:tcPr>
          <w:p w14:paraId="76CA51B4">
            <w:pPr>
              <w:widowControl/>
              <w:adjustRightInd/>
              <w:spacing w:line="240" w:lineRule="auto"/>
              <w:jc w:val="center"/>
              <w:rPr>
                <w:rFonts w:ascii="宋体" w:hAnsi="宋体"/>
                <w:sz w:val="18"/>
                <w:szCs w:val="18"/>
              </w:rPr>
            </w:pPr>
            <w:r>
              <w:rPr>
                <w:rFonts w:hint="eastAsia" w:ascii="宋体" w:hAnsi="宋体"/>
                <w:sz w:val="18"/>
                <w:szCs w:val="18"/>
              </w:rPr>
              <w:t>活动数据</w:t>
            </w:r>
          </w:p>
        </w:tc>
        <w:tc>
          <w:tcPr>
            <w:tcW w:w="1026" w:type="pct"/>
            <w:tcBorders>
              <w:top w:val="single" w:color="000000" w:sz="4" w:space="0"/>
              <w:left w:val="single" w:color="000000" w:sz="4" w:space="0"/>
              <w:bottom w:val="single" w:color="000000" w:sz="4" w:space="0"/>
              <w:right w:val="single" w:color="000000" w:sz="4" w:space="0"/>
            </w:tcBorders>
            <w:vAlign w:val="center"/>
          </w:tcPr>
          <w:p w14:paraId="52351EBF">
            <w:pPr>
              <w:widowControl/>
              <w:adjustRightInd/>
              <w:spacing w:line="240" w:lineRule="auto"/>
              <w:jc w:val="center"/>
              <w:rPr>
                <w:rFonts w:ascii="宋体" w:hAnsi="宋体"/>
                <w:sz w:val="18"/>
                <w:szCs w:val="18"/>
              </w:rPr>
            </w:pPr>
            <w:r>
              <w:rPr>
                <w:rFonts w:hint="eastAsia" w:ascii="宋体" w:hAnsi="宋体"/>
                <w:sz w:val="18"/>
                <w:szCs w:val="18"/>
              </w:rPr>
              <w:t>单位</w:t>
            </w:r>
          </w:p>
        </w:tc>
        <w:tc>
          <w:tcPr>
            <w:tcW w:w="1026" w:type="pct"/>
            <w:tcBorders>
              <w:top w:val="single" w:color="000000" w:sz="4" w:space="0"/>
              <w:left w:val="single" w:color="000000" w:sz="4" w:space="0"/>
              <w:bottom w:val="single" w:color="000000" w:sz="4" w:space="0"/>
              <w:right w:val="single" w:color="000000" w:sz="4" w:space="0"/>
            </w:tcBorders>
            <w:vAlign w:val="center"/>
          </w:tcPr>
          <w:p w14:paraId="7C312357">
            <w:pPr>
              <w:widowControl/>
              <w:adjustRightInd/>
              <w:spacing w:line="240" w:lineRule="auto"/>
              <w:jc w:val="center"/>
              <w:rPr>
                <w:rFonts w:ascii="宋体" w:hAnsi="宋体"/>
                <w:sz w:val="18"/>
                <w:szCs w:val="18"/>
              </w:rPr>
            </w:pPr>
            <w:r>
              <w:rPr>
                <w:rFonts w:hint="eastAsia" w:ascii="宋体" w:hAnsi="宋体"/>
                <w:sz w:val="18"/>
                <w:szCs w:val="18"/>
              </w:rPr>
              <w:t>数据来源</w:t>
            </w:r>
          </w:p>
        </w:tc>
      </w:tr>
      <w:tr w14:paraId="682AE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9" w:type="pct"/>
            <w:vMerge w:val="restart"/>
            <w:tcBorders>
              <w:top w:val="nil"/>
              <w:left w:val="single" w:color="000000" w:sz="4" w:space="0"/>
              <w:bottom w:val="single" w:color="000000" w:sz="4" w:space="0"/>
              <w:right w:val="single" w:color="000000" w:sz="4" w:space="0"/>
            </w:tcBorders>
            <w:vAlign w:val="center"/>
          </w:tcPr>
          <w:p w14:paraId="1AB2CAA8">
            <w:pPr>
              <w:widowControl/>
              <w:adjustRightInd/>
              <w:spacing w:line="240" w:lineRule="auto"/>
              <w:jc w:val="center"/>
              <w:rPr>
                <w:rFonts w:ascii="宋体" w:hAnsi="宋体"/>
                <w:sz w:val="18"/>
                <w:szCs w:val="18"/>
              </w:rPr>
            </w:pPr>
            <w:r>
              <w:rPr>
                <w:rFonts w:ascii="宋体" w:hAnsi="宋体"/>
                <w:sz w:val="18"/>
                <w:szCs w:val="18"/>
              </w:rPr>
              <w:t>原材料获取</w:t>
            </w:r>
          </w:p>
        </w:tc>
        <w:tc>
          <w:tcPr>
            <w:tcW w:w="731" w:type="pct"/>
            <w:tcBorders>
              <w:top w:val="single" w:color="000000" w:sz="4" w:space="0"/>
              <w:left w:val="single" w:color="000000" w:sz="4" w:space="0"/>
              <w:bottom w:val="single" w:color="000000" w:sz="4" w:space="0"/>
              <w:right w:val="single" w:color="000000" w:sz="4" w:space="0"/>
            </w:tcBorders>
            <w:vAlign w:val="center"/>
          </w:tcPr>
          <w:p w14:paraId="3CADDA07">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0897B2D4">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7E2267B9">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tcPr>
          <w:p w14:paraId="1446E83B">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3A8989BD">
            <w:pPr>
              <w:widowControl/>
              <w:adjustRightInd/>
              <w:spacing w:line="240" w:lineRule="auto"/>
              <w:jc w:val="center"/>
              <w:rPr>
                <w:rFonts w:ascii="宋体" w:hAnsi="宋体"/>
                <w:sz w:val="18"/>
                <w:szCs w:val="18"/>
              </w:rPr>
            </w:pPr>
          </w:p>
        </w:tc>
      </w:tr>
      <w:tr w14:paraId="401D5E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4812AC79">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555994AD">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0B1D0E59">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294CFB9B">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tcPr>
          <w:p w14:paraId="0708D764">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566DCACB">
            <w:pPr>
              <w:widowControl/>
              <w:adjustRightInd/>
              <w:spacing w:line="240" w:lineRule="auto"/>
              <w:jc w:val="center"/>
              <w:rPr>
                <w:rFonts w:ascii="宋体" w:hAnsi="宋体"/>
                <w:sz w:val="18"/>
                <w:szCs w:val="18"/>
              </w:rPr>
            </w:pPr>
          </w:p>
        </w:tc>
      </w:tr>
      <w:tr w14:paraId="3CA76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66975BA1">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124DE923">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3EE2E54C">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4C06F36E">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tcPr>
          <w:p w14:paraId="3568044D">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2BF3149D">
            <w:pPr>
              <w:widowControl/>
              <w:adjustRightInd/>
              <w:spacing w:line="240" w:lineRule="auto"/>
              <w:jc w:val="center"/>
              <w:rPr>
                <w:rFonts w:ascii="宋体" w:hAnsi="宋体"/>
                <w:sz w:val="18"/>
                <w:szCs w:val="18"/>
              </w:rPr>
            </w:pPr>
          </w:p>
        </w:tc>
      </w:tr>
      <w:tr w14:paraId="116B1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3305C36A">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0AF0DC1D">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01BF7A1B">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7B0B959F">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tcPr>
          <w:p w14:paraId="7089450F">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00FAF7C0">
            <w:pPr>
              <w:widowControl/>
              <w:adjustRightInd/>
              <w:spacing w:line="240" w:lineRule="auto"/>
              <w:jc w:val="center"/>
              <w:rPr>
                <w:rFonts w:ascii="宋体" w:hAnsi="宋体"/>
                <w:sz w:val="18"/>
                <w:szCs w:val="18"/>
              </w:rPr>
            </w:pPr>
          </w:p>
        </w:tc>
      </w:tr>
      <w:tr w14:paraId="50765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3D5B2F81">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094919FA">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2ABF6416">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013D41D0">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tcPr>
          <w:p w14:paraId="42A23C7E">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3DE52CB0">
            <w:pPr>
              <w:widowControl/>
              <w:adjustRightInd/>
              <w:spacing w:line="240" w:lineRule="auto"/>
              <w:jc w:val="center"/>
              <w:rPr>
                <w:rFonts w:ascii="宋体" w:hAnsi="宋体"/>
                <w:sz w:val="18"/>
                <w:szCs w:val="18"/>
              </w:rPr>
            </w:pPr>
          </w:p>
        </w:tc>
      </w:tr>
      <w:tr w14:paraId="54330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533B99F2">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56D112B4">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49CF1C06">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3D6D6307">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tcPr>
          <w:p w14:paraId="0834C2E4">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3CA7463A">
            <w:pPr>
              <w:widowControl/>
              <w:adjustRightInd/>
              <w:spacing w:line="240" w:lineRule="auto"/>
              <w:jc w:val="center"/>
              <w:rPr>
                <w:rFonts w:ascii="宋体" w:hAnsi="宋体"/>
                <w:sz w:val="18"/>
                <w:szCs w:val="18"/>
              </w:rPr>
            </w:pPr>
          </w:p>
        </w:tc>
      </w:tr>
      <w:tr w14:paraId="7F5B4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45FED8C3">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16EE7110">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6A08F48A">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318CF5FA">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tcPr>
          <w:p w14:paraId="4EB04256">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0A9CE4BA">
            <w:pPr>
              <w:widowControl/>
              <w:adjustRightInd/>
              <w:spacing w:line="240" w:lineRule="auto"/>
              <w:jc w:val="center"/>
              <w:rPr>
                <w:rFonts w:ascii="宋体" w:hAnsi="宋体"/>
                <w:sz w:val="18"/>
                <w:szCs w:val="18"/>
              </w:rPr>
            </w:pPr>
          </w:p>
        </w:tc>
      </w:tr>
      <w:tr w14:paraId="3D740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1C4F5EE7">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4BCC48C6">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2C81B4AF">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37FFBADA">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tcPr>
          <w:p w14:paraId="1D7CC154">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066A3C66">
            <w:pPr>
              <w:widowControl/>
              <w:adjustRightInd/>
              <w:spacing w:line="240" w:lineRule="auto"/>
              <w:jc w:val="center"/>
              <w:rPr>
                <w:rFonts w:ascii="宋体" w:hAnsi="宋体"/>
                <w:sz w:val="18"/>
                <w:szCs w:val="18"/>
              </w:rPr>
            </w:pPr>
          </w:p>
        </w:tc>
      </w:tr>
      <w:tr w14:paraId="05A1C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9" w:type="pct"/>
            <w:vMerge w:val="restart"/>
            <w:tcBorders>
              <w:top w:val="nil"/>
              <w:left w:val="single" w:color="000000" w:sz="4" w:space="0"/>
              <w:bottom w:val="single" w:color="000000" w:sz="4" w:space="0"/>
              <w:right w:val="single" w:color="000000" w:sz="4" w:space="0"/>
            </w:tcBorders>
            <w:vAlign w:val="center"/>
          </w:tcPr>
          <w:p w14:paraId="4E47FEF1">
            <w:pPr>
              <w:widowControl/>
              <w:adjustRightInd/>
              <w:spacing w:line="240" w:lineRule="auto"/>
              <w:jc w:val="center"/>
              <w:rPr>
                <w:rFonts w:ascii="宋体" w:hAnsi="宋体"/>
                <w:sz w:val="18"/>
                <w:szCs w:val="18"/>
              </w:rPr>
            </w:pPr>
            <w:r>
              <w:rPr>
                <w:rFonts w:ascii="宋体" w:hAnsi="宋体"/>
                <w:sz w:val="18"/>
                <w:szCs w:val="18"/>
              </w:rPr>
              <w:t>生产</w:t>
            </w:r>
          </w:p>
          <w:p w14:paraId="1AAFA294">
            <w:pPr>
              <w:widowControl/>
              <w:adjustRightInd/>
              <w:spacing w:line="240" w:lineRule="auto"/>
              <w:jc w:val="center"/>
              <w:rPr>
                <w:rFonts w:ascii="宋体" w:hAnsi="宋体"/>
                <w:sz w:val="18"/>
                <w:szCs w:val="18"/>
              </w:rPr>
            </w:pPr>
            <w:r>
              <w:rPr>
                <w:rFonts w:hint="eastAsia" w:ascii="宋体" w:hAnsi="宋体"/>
                <w:sz w:val="18"/>
                <w:szCs w:val="18"/>
              </w:rPr>
              <w:t>制造</w:t>
            </w:r>
          </w:p>
        </w:tc>
        <w:tc>
          <w:tcPr>
            <w:tcW w:w="731" w:type="pct"/>
            <w:tcBorders>
              <w:top w:val="single" w:color="000000" w:sz="4" w:space="0"/>
              <w:left w:val="single" w:color="000000" w:sz="4" w:space="0"/>
              <w:bottom w:val="single" w:color="000000" w:sz="4" w:space="0"/>
              <w:right w:val="single" w:color="000000" w:sz="4" w:space="0"/>
            </w:tcBorders>
            <w:vAlign w:val="center"/>
          </w:tcPr>
          <w:p w14:paraId="7D0F3311">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4547EF1A">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5D06FC1E">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5653F24A">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19D2461A">
            <w:pPr>
              <w:widowControl/>
              <w:adjustRightInd/>
              <w:spacing w:line="240" w:lineRule="auto"/>
              <w:jc w:val="center"/>
              <w:rPr>
                <w:rFonts w:ascii="宋体" w:hAnsi="宋体"/>
                <w:sz w:val="18"/>
                <w:szCs w:val="18"/>
              </w:rPr>
            </w:pPr>
          </w:p>
        </w:tc>
      </w:tr>
      <w:tr w14:paraId="7625E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06467E47">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463ADC86">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3B8FCDD3">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174C1F5B">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796C788F">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0345D1F8">
            <w:pPr>
              <w:widowControl/>
              <w:adjustRightInd/>
              <w:spacing w:line="240" w:lineRule="auto"/>
              <w:jc w:val="center"/>
              <w:rPr>
                <w:rFonts w:ascii="宋体" w:hAnsi="宋体"/>
                <w:sz w:val="18"/>
                <w:szCs w:val="18"/>
              </w:rPr>
            </w:pPr>
          </w:p>
        </w:tc>
      </w:tr>
      <w:tr w14:paraId="019F3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32570E6E">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71294621">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49E5F9EA">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4D58B72A">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198C6047">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686C2F2C">
            <w:pPr>
              <w:widowControl/>
              <w:adjustRightInd/>
              <w:spacing w:line="240" w:lineRule="auto"/>
              <w:jc w:val="center"/>
              <w:rPr>
                <w:rFonts w:ascii="宋体" w:hAnsi="宋体"/>
                <w:sz w:val="18"/>
                <w:szCs w:val="18"/>
              </w:rPr>
            </w:pPr>
          </w:p>
        </w:tc>
      </w:tr>
      <w:tr w14:paraId="575B4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54DF1D39">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59EE3381">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0CDBE725">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6106EFC8">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09CB8366">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7B3943FD">
            <w:pPr>
              <w:widowControl/>
              <w:adjustRightInd/>
              <w:spacing w:line="240" w:lineRule="auto"/>
              <w:jc w:val="center"/>
              <w:rPr>
                <w:rFonts w:ascii="宋体" w:hAnsi="宋体"/>
                <w:sz w:val="18"/>
                <w:szCs w:val="18"/>
              </w:rPr>
            </w:pPr>
          </w:p>
        </w:tc>
      </w:tr>
      <w:tr w14:paraId="5DB5BB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41BCBFC8">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43DA4CF1">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108AB9C1">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7F422D65">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2548387A">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2C5C2395">
            <w:pPr>
              <w:widowControl/>
              <w:adjustRightInd/>
              <w:spacing w:line="240" w:lineRule="auto"/>
              <w:jc w:val="center"/>
              <w:rPr>
                <w:rFonts w:ascii="宋体" w:hAnsi="宋体"/>
                <w:sz w:val="18"/>
                <w:szCs w:val="18"/>
              </w:rPr>
            </w:pPr>
          </w:p>
        </w:tc>
      </w:tr>
      <w:tr w14:paraId="3D35A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4FE23CD7">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2D6750FB">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071F5F2F">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19FEF6EE">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69F6281C">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00CC45A7">
            <w:pPr>
              <w:widowControl/>
              <w:adjustRightInd/>
              <w:spacing w:line="240" w:lineRule="auto"/>
              <w:jc w:val="center"/>
              <w:rPr>
                <w:rFonts w:ascii="宋体" w:hAnsi="宋体"/>
                <w:sz w:val="18"/>
                <w:szCs w:val="18"/>
              </w:rPr>
            </w:pPr>
          </w:p>
        </w:tc>
      </w:tr>
      <w:tr w14:paraId="1E98F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9" w:type="pct"/>
            <w:vMerge w:val="restart"/>
            <w:tcBorders>
              <w:top w:val="nil"/>
              <w:left w:val="single" w:color="000000" w:sz="4" w:space="0"/>
              <w:bottom w:val="single" w:color="000000" w:sz="4" w:space="0"/>
              <w:right w:val="single" w:color="000000" w:sz="4" w:space="0"/>
            </w:tcBorders>
            <w:vAlign w:val="center"/>
          </w:tcPr>
          <w:p w14:paraId="6DBFF37B">
            <w:pPr>
              <w:widowControl/>
              <w:adjustRightInd/>
              <w:spacing w:line="240" w:lineRule="auto"/>
              <w:jc w:val="center"/>
              <w:rPr>
                <w:rFonts w:ascii="宋体" w:hAnsi="宋体"/>
                <w:sz w:val="18"/>
                <w:szCs w:val="18"/>
              </w:rPr>
            </w:pPr>
            <w:r>
              <w:rPr>
                <w:rFonts w:hint="eastAsia" w:ascii="宋体" w:hAnsi="宋体"/>
                <w:sz w:val="18"/>
                <w:szCs w:val="18"/>
              </w:rPr>
              <w:t>交付</w:t>
            </w:r>
          </w:p>
          <w:p w14:paraId="3D5ADA72">
            <w:pPr>
              <w:widowControl/>
              <w:adjustRightInd/>
              <w:spacing w:line="240" w:lineRule="auto"/>
              <w:jc w:val="center"/>
              <w:rPr>
                <w:rFonts w:ascii="宋体" w:hAnsi="宋体"/>
                <w:sz w:val="18"/>
                <w:szCs w:val="18"/>
              </w:rPr>
            </w:pPr>
            <w:r>
              <w:rPr>
                <w:rFonts w:hint="eastAsia" w:ascii="宋体" w:hAnsi="宋体"/>
                <w:sz w:val="18"/>
                <w:szCs w:val="18"/>
              </w:rPr>
              <w:t>运输</w:t>
            </w:r>
          </w:p>
        </w:tc>
        <w:tc>
          <w:tcPr>
            <w:tcW w:w="731" w:type="pct"/>
            <w:tcBorders>
              <w:top w:val="single" w:color="000000" w:sz="4" w:space="0"/>
              <w:left w:val="single" w:color="000000" w:sz="4" w:space="0"/>
              <w:bottom w:val="single" w:color="000000" w:sz="4" w:space="0"/>
              <w:right w:val="single" w:color="000000" w:sz="4" w:space="0"/>
            </w:tcBorders>
            <w:vAlign w:val="center"/>
          </w:tcPr>
          <w:p w14:paraId="02BF585E">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4A15766C">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0538ECCE">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tcPr>
          <w:p w14:paraId="072786E3">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469B60EB">
            <w:pPr>
              <w:widowControl/>
              <w:adjustRightInd/>
              <w:spacing w:line="240" w:lineRule="auto"/>
              <w:jc w:val="center"/>
              <w:rPr>
                <w:rFonts w:ascii="宋体" w:hAnsi="宋体"/>
                <w:sz w:val="18"/>
                <w:szCs w:val="18"/>
              </w:rPr>
            </w:pPr>
          </w:p>
        </w:tc>
      </w:tr>
      <w:tr w14:paraId="0470AA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5DEE7A80">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26386137">
            <w:pPr>
              <w:widowControl/>
              <w:adjustRightInd/>
              <w:spacing w:line="240" w:lineRule="auto"/>
              <w:jc w:val="center"/>
              <w:rPr>
                <w:rFonts w:ascii="宋体" w:hAnsi="宋体"/>
                <w:spacing w:val="-3"/>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6D80B014">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73C03D79">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tcPr>
          <w:p w14:paraId="6B1693F8">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169CC249">
            <w:pPr>
              <w:widowControl/>
              <w:adjustRightInd/>
              <w:spacing w:line="240" w:lineRule="auto"/>
              <w:jc w:val="center"/>
              <w:rPr>
                <w:rFonts w:ascii="宋体" w:hAnsi="宋体"/>
                <w:sz w:val="18"/>
                <w:szCs w:val="18"/>
              </w:rPr>
            </w:pPr>
          </w:p>
        </w:tc>
      </w:tr>
      <w:tr w14:paraId="79AD3F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708DFBD3">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5ED86590">
            <w:pPr>
              <w:widowControl/>
              <w:adjustRightInd/>
              <w:spacing w:line="240" w:lineRule="auto"/>
              <w:jc w:val="center"/>
              <w:rPr>
                <w:rFonts w:ascii="宋体" w:hAnsi="宋体"/>
                <w:spacing w:val="-2"/>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4CF1504F">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3091F29C">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tcPr>
          <w:p w14:paraId="5E238FC1">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30DFD573">
            <w:pPr>
              <w:widowControl/>
              <w:adjustRightInd/>
              <w:spacing w:line="240" w:lineRule="auto"/>
              <w:jc w:val="center"/>
              <w:rPr>
                <w:rFonts w:ascii="宋体" w:hAnsi="宋体"/>
                <w:sz w:val="18"/>
                <w:szCs w:val="18"/>
              </w:rPr>
            </w:pPr>
          </w:p>
        </w:tc>
      </w:tr>
      <w:tr w14:paraId="080AE5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9" w:type="pct"/>
            <w:vMerge w:val="restart"/>
            <w:tcBorders>
              <w:top w:val="nil"/>
              <w:left w:val="single" w:color="000000" w:sz="4" w:space="0"/>
              <w:bottom w:val="single" w:color="000000" w:sz="4" w:space="0"/>
              <w:right w:val="single" w:color="000000" w:sz="4" w:space="0"/>
            </w:tcBorders>
            <w:vAlign w:val="center"/>
          </w:tcPr>
          <w:p w14:paraId="60C69ABA">
            <w:pPr>
              <w:widowControl/>
              <w:adjustRightInd/>
              <w:spacing w:line="240" w:lineRule="auto"/>
              <w:jc w:val="center"/>
              <w:rPr>
                <w:rFonts w:ascii="宋体" w:hAnsi="宋体"/>
                <w:sz w:val="18"/>
                <w:szCs w:val="18"/>
              </w:rPr>
            </w:pPr>
            <w:r>
              <w:rPr>
                <w:rFonts w:hint="eastAsia" w:ascii="宋体" w:hAnsi="宋体"/>
                <w:sz w:val="18"/>
                <w:szCs w:val="18"/>
              </w:rPr>
              <w:t>使用</w:t>
            </w:r>
          </w:p>
        </w:tc>
        <w:tc>
          <w:tcPr>
            <w:tcW w:w="731" w:type="pct"/>
            <w:tcBorders>
              <w:top w:val="single" w:color="000000" w:sz="4" w:space="0"/>
              <w:left w:val="single" w:color="000000" w:sz="4" w:space="0"/>
              <w:bottom w:val="single" w:color="000000" w:sz="4" w:space="0"/>
              <w:right w:val="single" w:color="000000" w:sz="4" w:space="0"/>
            </w:tcBorders>
            <w:vAlign w:val="center"/>
          </w:tcPr>
          <w:p w14:paraId="6B119BE6">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3BF11BE2">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2BD5B493">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5BC6B928">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24D78C31">
            <w:pPr>
              <w:widowControl/>
              <w:adjustRightInd/>
              <w:spacing w:line="240" w:lineRule="auto"/>
              <w:jc w:val="center"/>
              <w:rPr>
                <w:rFonts w:ascii="宋体" w:hAnsi="宋体"/>
                <w:sz w:val="18"/>
                <w:szCs w:val="18"/>
              </w:rPr>
            </w:pPr>
          </w:p>
        </w:tc>
      </w:tr>
      <w:tr w14:paraId="423F9C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06AED1D9">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44B73152">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412DDBC2">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5C095E3B">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1500D63C">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4F407487">
            <w:pPr>
              <w:widowControl/>
              <w:adjustRightInd/>
              <w:spacing w:line="240" w:lineRule="auto"/>
              <w:jc w:val="center"/>
              <w:rPr>
                <w:rFonts w:ascii="宋体" w:hAnsi="宋体"/>
                <w:sz w:val="18"/>
                <w:szCs w:val="18"/>
              </w:rPr>
            </w:pPr>
          </w:p>
        </w:tc>
      </w:tr>
      <w:tr w14:paraId="09D2E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61633D65">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68AB049D">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6C45D74A">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245C0499">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2CCEB484">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3CFCA94D">
            <w:pPr>
              <w:widowControl/>
              <w:adjustRightInd/>
              <w:spacing w:line="240" w:lineRule="auto"/>
              <w:jc w:val="center"/>
              <w:rPr>
                <w:rFonts w:ascii="宋体" w:hAnsi="宋体"/>
                <w:sz w:val="18"/>
                <w:szCs w:val="18"/>
              </w:rPr>
            </w:pPr>
          </w:p>
        </w:tc>
      </w:tr>
      <w:tr w14:paraId="7BF1FF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9" w:type="pct"/>
            <w:vMerge w:val="restart"/>
            <w:tcBorders>
              <w:top w:val="nil"/>
              <w:left w:val="single" w:color="000000" w:sz="4" w:space="0"/>
              <w:bottom w:val="single" w:color="000000" w:sz="4" w:space="0"/>
              <w:right w:val="single" w:color="000000" w:sz="4" w:space="0"/>
            </w:tcBorders>
            <w:vAlign w:val="center"/>
          </w:tcPr>
          <w:p w14:paraId="3B2BF680">
            <w:pPr>
              <w:adjustRightInd/>
              <w:spacing w:line="240" w:lineRule="auto"/>
              <w:jc w:val="center"/>
              <w:rPr>
                <w:rFonts w:ascii="宋体" w:hAnsi="宋体"/>
                <w:sz w:val="18"/>
                <w:szCs w:val="18"/>
              </w:rPr>
            </w:pPr>
            <w:r>
              <w:rPr>
                <w:rFonts w:hint="eastAsia" w:ascii="宋体" w:hAnsi="宋体"/>
                <w:sz w:val="18"/>
                <w:szCs w:val="18"/>
              </w:rPr>
              <w:t>回收</w:t>
            </w:r>
          </w:p>
          <w:p w14:paraId="225EFC73">
            <w:pPr>
              <w:adjustRightInd/>
              <w:spacing w:line="240" w:lineRule="auto"/>
              <w:jc w:val="center"/>
              <w:rPr>
                <w:rFonts w:ascii="宋体" w:hAnsi="宋体"/>
                <w:sz w:val="18"/>
                <w:szCs w:val="18"/>
              </w:rPr>
            </w:pPr>
            <w:r>
              <w:rPr>
                <w:rFonts w:hint="eastAsia" w:ascii="宋体" w:hAnsi="宋体"/>
                <w:sz w:val="18"/>
                <w:szCs w:val="18"/>
              </w:rPr>
              <w:t>处置</w:t>
            </w:r>
          </w:p>
        </w:tc>
        <w:tc>
          <w:tcPr>
            <w:tcW w:w="731" w:type="pct"/>
            <w:tcBorders>
              <w:top w:val="single" w:color="000000" w:sz="4" w:space="0"/>
              <w:left w:val="single" w:color="000000" w:sz="4" w:space="0"/>
              <w:bottom w:val="single" w:color="000000" w:sz="4" w:space="0"/>
              <w:right w:val="single" w:color="000000" w:sz="4" w:space="0"/>
            </w:tcBorders>
            <w:vAlign w:val="center"/>
          </w:tcPr>
          <w:p w14:paraId="61B94A9B">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4CF6B3D8">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288BBD3B">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61B86252">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02F2E10C">
            <w:pPr>
              <w:widowControl/>
              <w:adjustRightInd/>
              <w:spacing w:line="240" w:lineRule="auto"/>
              <w:jc w:val="center"/>
              <w:rPr>
                <w:rFonts w:ascii="宋体" w:hAnsi="宋体"/>
                <w:sz w:val="18"/>
                <w:szCs w:val="18"/>
              </w:rPr>
            </w:pPr>
          </w:p>
        </w:tc>
      </w:tr>
      <w:tr w14:paraId="6E6B3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50107B4A">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145F0A15">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73625AF6">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056095D5">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1D3C2A27">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21161496">
            <w:pPr>
              <w:widowControl/>
              <w:adjustRightInd/>
              <w:spacing w:line="240" w:lineRule="auto"/>
              <w:jc w:val="center"/>
              <w:rPr>
                <w:rFonts w:ascii="宋体" w:hAnsi="宋体"/>
                <w:sz w:val="18"/>
                <w:szCs w:val="18"/>
              </w:rPr>
            </w:pPr>
          </w:p>
        </w:tc>
      </w:tr>
      <w:tr w14:paraId="1281D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50DA1B6F">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281405E4">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44BC29B9">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500C2466">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1876194A">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052A88E6">
            <w:pPr>
              <w:widowControl/>
              <w:adjustRightInd/>
              <w:spacing w:line="240" w:lineRule="auto"/>
              <w:jc w:val="center"/>
              <w:rPr>
                <w:rFonts w:ascii="宋体" w:hAnsi="宋体"/>
                <w:sz w:val="18"/>
                <w:szCs w:val="18"/>
              </w:rPr>
            </w:pPr>
          </w:p>
        </w:tc>
      </w:tr>
      <w:tr w14:paraId="1CB69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54BBF5D5">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328A48B6">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1836FF50">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418059B7">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0239234D">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0704B9F5">
            <w:pPr>
              <w:widowControl/>
              <w:adjustRightInd/>
              <w:spacing w:line="240" w:lineRule="auto"/>
              <w:jc w:val="center"/>
              <w:rPr>
                <w:rFonts w:ascii="宋体" w:hAnsi="宋体"/>
                <w:sz w:val="18"/>
                <w:szCs w:val="18"/>
              </w:rPr>
            </w:pPr>
          </w:p>
        </w:tc>
      </w:tr>
      <w:tr w14:paraId="6576BB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1DBFFCE3">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3F8062D5">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07254D3E">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3E9A8C4C">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4F92CBC0">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2C0DAC9F">
            <w:pPr>
              <w:widowControl/>
              <w:adjustRightInd/>
              <w:spacing w:line="240" w:lineRule="auto"/>
              <w:jc w:val="center"/>
              <w:rPr>
                <w:rFonts w:ascii="宋体" w:hAnsi="宋体"/>
                <w:sz w:val="18"/>
                <w:szCs w:val="18"/>
              </w:rPr>
            </w:pPr>
          </w:p>
        </w:tc>
      </w:tr>
      <w:tr w14:paraId="0BD2F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6E52009A">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1F742B19">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291E78F3">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6BAED5A6">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0904DF82">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64213C6C">
            <w:pPr>
              <w:widowControl/>
              <w:adjustRightInd/>
              <w:spacing w:line="240" w:lineRule="auto"/>
              <w:jc w:val="center"/>
              <w:rPr>
                <w:rFonts w:ascii="宋体" w:hAnsi="宋体"/>
                <w:sz w:val="18"/>
                <w:szCs w:val="18"/>
              </w:rPr>
            </w:pPr>
          </w:p>
        </w:tc>
      </w:tr>
      <w:tr w14:paraId="0591B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5F1AEC7F">
            <w:pPr>
              <w:widowControl/>
              <w:adjustRightInd/>
              <w:spacing w:line="240" w:lineRule="auto"/>
              <w:jc w:val="left"/>
              <w:rPr>
                <w:rFonts w:ascii="宋体" w:hAnsi="宋体"/>
                <w:sz w:val="18"/>
                <w:szCs w:val="18"/>
              </w:rPr>
            </w:pPr>
          </w:p>
        </w:tc>
        <w:tc>
          <w:tcPr>
            <w:tcW w:w="731" w:type="pct"/>
            <w:tcBorders>
              <w:top w:val="single" w:color="000000" w:sz="4" w:space="0"/>
              <w:left w:val="single" w:color="000000" w:sz="4" w:space="0"/>
              <w:bottom w:val="single" w:color="000000" w:sz="4" w:space="0"/>
              <w:right w:val="single" w:color="000000" w:sz="4" w:space="0"/>
            </w:tcBorders>
            <w:vAlign w:val="center"/>
          </w:tcPr>
          <w:p w14:paraId="12199094">
            <w:pPr>
              <w:widowControl/>
              <w:adjustRightInd/>
              <w:spacing w:line="240" w:lineRule="auto"/>
              <w:jc w:val="center"/>
              <w:rPr>
                <w:rFonts w:ascii="宋体" w:hAnsi="宋体"/>
                <w:sz w:val="18"/>
                <w:szCs w:val="18"/>
              </w:rPr>
            </w:pPr>
          </w:p>
        </w:tc>
        <w:tc>
          <w:tcPr>
            <w:tcW w:w="748" w:type="pct"/>
            <w:tcBorders>
              <w:top w:val="single" w:color="000000" w:sz="4" w:space="0"/>
              <w:left w:val="single" w:color="000000" w:sz="4" w:space="0"/>
              <w:bottom w:val="single" w:color="000000" w:sz="4" w:space="0"/>
              <w:right w:val="single" w:color="000000" w:sz="4" w:space="0"/>
            </w:tcBorders>
            <w:vAlign w:val="center"/>
          </w:tcPr>
          <w:p w14:paraId="5A0445B3">
            <w:pPr>
              <w:widowControl/>
              <w:adjustRightInd/>
              <w:spacing w:line="240" w:lineRule="auto"/>
              <w:jc w:val="center"/>
              <w:rPr>
                <w:rFonts w:ascii="宋体" w:hAnsi="宋体"/>
                <w:sz w:val="18"/>
                <w:szCs w:val="18"/>
              </w:rPr>
            </w:pPr>
          </w:p>
        </w:tc>
        <w:tc>
          <w:tcPr>
            <w:tcW w:w="888" w:type="pct"/>
            <w:tcBorders>
              <w:top w:val="single" w:color="000000" w:sz="4" w:space="0"/>
              <w:left w:val="single" w:color="000000" w:sz="4" w:space="0"/>
              <w:bottom w:val="single" w:color="000000" w:sz="4" w:space="0"/>
              <w:right w:val="single" w:color="000000" w:sz="4" w:space="0"/>
            </w:tcBorders>
          </w:tcPr>
          <w:p w14:paraId="54D8DEBC">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tcPr>
          <w:p w14:paraId="41B8F448">
            <w:pPr>
              <w:widowControl/>
              <w:adjustRightInd/>
              <w:spacing w:line="240" w:lineRule="auto"/>
              <w:jc w:val="center"/>
              <w:rPr>
                <w:rFonts w:ascii="宋体" w:hAnsi="宋体"/>
                <w:sz w:val="18"/>
                <w:szCs w:val="18"/>
              </w:rPr>
            </w:pPr>
          </w:p>
        </w:tc>
        <w:tc>
          <w:tcPr>
            <w:tcW w:w="1026" w:type="pct"/>
            <w:tcBorders>
              <w:top w:val="single" w:color="000000" w:sz="4" w:space="0"/>
              <w:left w:val="single" w:color="000000" w:sz="4" w:space="0"/>
              <w:bottom w:val="single" w:color="000000" w:sz="4" w:space="0"/>
              <w:right w:val="single" w:color="000000" w:sz="4" w:space="0"/>
            </w:tcBorders>
            <w:vAlign w:val="center"/>
          </w:tcPr>
          <w:p w14:paraId="3DC9F524">
            <w:pPr>
              <w:widowControl/>
              <w:adjustRightInd/>
              <w:spacing w:line="240" w:lineRule="auto"/>
              <w:jc w:val="center"/>
              <w:rPr>
                <w:rFonts w:ascii="宋体" w:hAnsi="宋体"/>
                <w:sz w:val="18"/>
                <w:szCs w:val="18"/>
              </w:rPr>
            </w:pPr>
          </w:p>
        </w:tc>
      </w:tr>
    </w:tbl>
    <w:p w14:paraId="4254748D">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4</w:t>
      </w:r>
      <w:r>
        <w:rPr>
          <w:rFonts w:ascii="宋体" w:hAnsi="宋体"/>
          <w:b/>
          <w:bCs/>
          <w:sz w:val="24"/>
          <w:szCs w:val="24"/>
        </w:rPr>
        <w:t>、数据质量评价（可选项）</w:t>
      </w:r>
    </w:p>
    <w:p w14:paraId="4D592997">
      <w:pPr>
        <w:widowControl/>
        <w:adjustRightInd/>
        <w:spacing w:line="240" w:lineRule="auto"/>
        <w:ind w:firstLine="480" w:firstLineChars="200"/>
        <w:jc w:val="left"/>
        <w:rPr>
          <w:rFonts w:ascii="Times New Roman" w:hAnsi="Times New Roman"/>
          <w:sz w:val="24"/>
          <w:szCs w:val="24"/>
        </w:rPr>
      </w:pPr>
      <w:r>
        <w:rPr>
          <w:rFonts w:ascii="宋体" w:hAnsi="宋体"/>
          <w:sz w:val="24"/>
          <w:szCs w:val="24"/>
        </w:rPr>
        <w:t>数据质量可从定性和定量两个方面对报告使用的初级数据和次级数据进行评价，具体评价内容包括：数据代表性（时间、地理、技术）和</w:t>
      </w:r>
      <w:r>
        <w:rPr>
          <w:rFonts w:hint="eastAsia" w:ascii="宋体" w:hAnsi="宋体"/>
          <w:sz w:val="24"/>
          <w:szCs w:val="24"/>
        </w:rPr>
        <w:t>可靠</w:t>
      </w:r>
      <w:r>
        <w:rPr>
          <w:rFonts w:ascii="宋体" w:hAnsi="宋体"/>
          <w:sz w:val="24"/>
          <w:szCs w:val="24"/>
        </w:rPr>
        <w:t>性。</w:t>
      </w:r>
    </w:p>
    <w:p w14:paraId="72822455">
      <w:pPr>
        <w:widowControl/>
        <w:adjustRightInd/>
        <w:spacing w:before="120" w:beforeLines="50" w:after="120" w:afterLines="50" w:line="360" w:lineRule="auto"/>
        <w:jc w:val="left"/>
        <w:rPr>
          <w:rFonts w:ascii="Times New Roman" w:hAnsi="Times New Roman"/>
          <w:b/>
          <w:bCs/>
          <w:sz w:val="28"/>
          <w:szCs w:val="28"/>
        </w:rPr>
      </w:pPr>
      <w:r>
        <w:rPr>
          <w:rFonts w:ascii="宋体" w:hAnsi="宋体"/>
          <w:b/>
          <w:bCs/>
          <w:sz w:val="28"/>
          <w:szCs w:val="28"/>
        </w:rPr>
        <w:t>五、影响评价</w:t>
      </w:r>
    </w:p>
    <w:p w14:paraId="3C6FF0E0">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1</w:t>
      </w:r>
      <w:r>
        <w:rPr>
          <w:rFonts w:ascii="宋体" w:hAnsi="宋体"/>
          <w:b/>
          <w:bCs/>
          <w:sz w:val="24"/>
          <w:szCs w:val="24"/>
        </w:rPr>
        <w:t>、影响类型和特征化因子选择</w:t>
      </w:r>
    </w:p>
    <w:p w14:paraId="204DA3D0">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2</w:t>
      </w:r>
      <w:r>
        <w:rPr>
          <w:rFonts w:ascii="宋体" w:hAnsi="宋体"/>
          <w:b/>
          <w:bCs/>
          <w:sz w:val="24"/>
          <w:szCs w:val="24"/>
        </w:rPr>
        <w:t>、产品碳足迹结果计算</w:t>
      </w:r>
    </w:p>
    <w:p w14:paraId="5B6AC8F1">
      <w:pPr>
        <w:widowControl/>
        <w:adjustRightInd/>
        <w:spacing w:before="120" w:beforeLines="50" w:after="120" w:afterLines="50" w:line="240" w:lineRule="auto"/>
        <w:ind w:firstLine="480" w:firstLineChars="200"/>
        <w:jc w:val="left"/>
        <w:rPr>
          <w:rFonts w:ascii="Times New Roman" w:hAnsi="Times New Roman"/>
          <w:sz w:val="24"/>
          <w:szCs w:val="24"/>
        </w:rPr>
      </w:pPr>
      <w:r>
        <w:rPr>
          <w:rFonts w:ascii="Times New Roman" w:hAnsi="Times New Roman"/>
          <w:sz w:val="24"/>
          <w:szCs w:val="24"/>
        </w:rPr>
        <w:t xml:space="preserve"> </w:t>
      </w:r>
    </w:p>
    <w:p w14:paraId="6E312F6B">
      <w:pPr>
        <w:widowControl/>
        <w:adjustRightInd/>
        <w:spacing w:before="120" w:beforeLines="50" w:after="120" w:afterLines="50" w:line="240" w:lineRule="auto"/>
        <w:jc w:val="left"/>
        <w:rPr>
          <w:rFonts w:ascii="Times New Roman" w:hAnsi="Times New Roman"/>
          <w:b/>
          <w:bCs/>
          <w:sz w:val="28"/>
          <w:szCs w:val="28"/>
        </w:rPr>
      </w:pPr>
      <w:r>
        <w:rPr>
          <w:rFonts w:ascii="宋体" w:hAnsi="宋体"/>
          <w:b/>
          <w:bCs/>
          <w:sz w:val="28"/>
          <w:szCs w:val="28"/>
        </w:rPr>
        <w:t>六、结果解释</w:t>
      </w:r>
    </w:p>
    <w:p w14:paraId="1CE94480">
      <w:pPr>
        <w:widowControl/>
        <w:adjustRightInd/>
        <w:spacing w:before="120" w:beforeLines="50" w:after="120" w:afterLines="50" w:line="240" w:lineRule="auto"/>
        <w:jc w:val="left"/>
        <w:rPr>
          <w:rFonts w:ascii="Times New Roman" w:hAnsi="Times New Roman"/>
          <w:b/>
          <w:bCs/>
          <w:sz w:val="24"/>
          <w:szCs w:val="24"/>
        </w:rPr>
      </w:pPr>
      <w:r>
        <w:rPr>
          <w:rFonts w:ascii="Times New Roman" w:hAnsi="Times New Roman"/>
          <w:b/>
          <w:bCs/>
          <w:sz w:val="24"/>
          <w:szCs w:val="24"/>
        </w:rPr>
        <w:t>1</w:t>
      </w:r>
      <w:r>
        <w:rPr>
          <w:rFonts w:ascii="宋体" w:hAnsi="宋体"/>
          <w:b/>
          <w:bCs/>
          <w:sz w:val="24"/>
          <w:szCs w:val="24"/>
        </w:rPr>
        <w:t>、结果说明</w:t>
      </w:r>
    </w:p>
    <w:p w14:paraId="7315A1DA">
      <w:pPr>
        <w:widowControl/>
        <w:adjustRightInd/>
        <w:spacing w:line="240" w:lineRule="auto"/>
        <w:ind w:firstLine="480" w:firstLineChars="200"/>
        <w:jc w:val="left"/>
        <w:rPr>
          <w:rFonts w:ascii="Times New Roman" w:hAnsi="Times New Roman"/>
          <w:sz w:val="24"/>
          <w:szCs w:val="24"/>
        </w:rPr>
      </w:pPr>
      <w:r>
        <w:rPr>
          <w:rFonts w:ascii="Times New Roman" w:hAnsi="Times New Roman"/>
          <w:sz w:val="24"/>
          <w:szCs w:val="24"/>
          <w:u w:val="single"/>
        </w:rPr>
        <w:t xml:space="preserve">        </w:t>
      </w:r>
      <w:r>
        <w:rPr>
          <w:rFonts w:ascii="宋体" w:hAnsi="宋体"/>
          <w:sz w:val="24"/>
          <w:szCs w:val="24"/>
        </w:rPr>
        <w:t>公司（填写产品生产者的全名）生产的</w:t>
      </w:r>
      <w:r>
        <w:rPr>
          <w:rFonts w:ascii="Times New Roman" w:hAnsi="Times New Roman"/>
          <w:sz w:val="24"/>
          <w:szCs w:val="24"/>
          <w:u w:val="single"/>
        </w:rPr>
        <w:t xml:space="preserve">          </w:t>
      </w:r>
      <w:r>
        <w:rPr>
          <w:rFonts w:ascii="宋体" w:hAnsi="宋体"/>
          <w:sz w:val="24"/>
          <w:szCs w:val="24"/>
        </w:rPr>
        <w:t>（填写所评价的产品名称，每功能单位的产品），从</w:t>
      </w:r>
      <w:r>
        <w:rPr>
          <w:rFonts w:ascii="Times New Roman" w:hAnsi="Times New Roman"/>
          <w:sz w:val="24"/>
          <w:szCs w:val="24"/>
          <w:u w:val="single"/>
        </w:rPr>
        <w:t xml:space="preserve">        </w:t>
      </w:r>
      <w:r>
        <w:rPr>
          <w:rFonts w:ascii="宋体" w:hAnsi="宋体"/>
          <w:sz w:val="24"/>
          <w:szCs w:val="24"/>
        </w:rPr>
        <w:t>（填写某生命周期阶段）到</w:t>
      </w:r>
      <w:r>
        <w:rPr>
          <w:rFonts w:ascii="Times New Roman" w:hAnsi="Times New Roman"/>
          <w:sz w:val="24"/>
          <w:szCs w:val="24"/>
          <w:u w:val="single"/>
        </w:rPr>
        <w:t xml:space="preserve">     </w:t>
      </w:r>
      <w:r>
        <w:rPr>
          <w:rFonts w:ascii="Times New Roman" w:hAnsi="Times New Roman"/>
          <w:sz w:val="24"/>
          <w:szCs w:val="24"/>
        </w:rPr>
        <w:t xml:space="preserve">   </w:t>
      </w:r>
      <w:r>
        <w:rPr>
          <w:rFonts w:ascii="宋体" w:hAnsi="宋体"/>
          <w:sz w:val="24"/>
          <w:szCs w:val="24"/>
        </w:rPr>
        <w:t>（填写某生命周期阶段）生命周期碳足迹</w:t>
      </w:r>
      <w:r>
        <w:rPr>
          <w:rFonts w:ascii="Times New Roman" w:hAnsi="Times New Roman"/>
          <w:sz w:val="24"/>
          <w:szCs w:val="24"/>
          <w:u w:val="single"/>
        </w:rPr>
        <w:t xml:space="preserve">        </w:t>
      </w:r>
      <w:r>
        <w:rPr>
          <w:rFonts w:ascii="宋体" w:hAnsi="宋体"/>
          <w:sz w:val="24"/>
          <w:szCs w:val="24"/>
        </w:rPr>
        <w:t>为</w:t>
      </w:r>
      <w:r>
        <w:rPr>
          <w:rFonts w:ascii="Times New Roman" w:hAnsi="Times New Roman"/>
          <w:sz w:val="24"/>
          <w:szCs w:val="24"/>
        </w:rPr>
        <w:t>t CO</w:t>
      </w:r>
      <w:r>
        <w:rPr>
          <w:rFonts w:ascii="Times New Roman" w:hAnsi="Times New Roman"/>
          <w:sz w:val="24"/>
          <w:szCs w:val="24"/>
          <w:vertAlign w:val="subscript"/>
        </w:rPr>
        <w:t>2</w:t>
      </w:r>
      <w:r>
        <w:rPr>
          <w:rFonts w:ascii="Times New Roman" w:hAnsi="Times New Roman"/>
          <w:sz w:val="24"/>
          <w:szCs w:val="24"/>
        </w:rPr>
        <w:t>e</w:t>
      </w:r>
      <w:r>
        <w:rPr>
          <w:rFonts w:ascii="宋体" w:hAnsi="宋体"/>
          <w:sz w:val="24"/>
          <w:szCs w:val="24"/>
        </w:rPr>
        <w:t>。各生命周期阶段的温室气体排放情况如表</w:t>
      </w:r>
      <w:r>
        <w:rPr>
          <w:rFonts w:ascii="Times New Roman" w:hAnsi="Times New Roman"/>
          <w:sz w:val="24"/>
          <w:szCs w:val="24"/>
        </w:rPr>
        <w:t>2</w:t>
      </w:r>
      <w:r>
        <w:rPr>
          <w:rFonts w:ascii="宋体" w:hAnsi="宋体"/>
          <w:sz w:val="24"/>
          <w:szCs w:val="24"/>
        </w:rPr>
        <w:t>和图</w:t>
      </w:r>
      <w:r>
        <w:rPr>
          <w:rFonts w:ascii="Times New Roman" w:hAnsi="Times New Roman"/>
          <w:sz w:val="24"/>
          <w:szCs w:val="24"/>
        </w:rPr>
        <w:t>2</w:t>
      </w:r>
      <w:r>
        <w:rPr>
          <w:rFonts w:ascii="宋体" w:hAnsi="宋体"/>
          <w:sz w:val="24"/>
          <w:szCs w:val="24"/>
        </w:rPr>
        <w:t>所示。</w:t>
      </w:r>
    </w:p>
    <w:p w14:paraId="0858F10C">
      <w:pPr>
        <w:pStyle w:val="77"/>
        <w:spacing w:before="120" w:after="120"/>
        <w:rPr>
          <w:rFonts w:ascii="Times New Roman"/>
        </w:rPr>
      </w:pPr>
      <w:r>
        <w:rPr>
          <w:rFonts w:hint="eastAsia" w:ascii="Times New Roman"/>
        </w:rPr>
        <w:t>**</w:t>
      </w:r>
      <w:r>
        <w:rPr>
          <w:rFonts w:hint="eastAsia"/>
        </w:rPr>
        <w:t>产品</w:t>
      </w:r>
      <w:r>
        <w:t>生命周期各阶段碳排放情况</w:t>
      </w:r>
    </w:p>
    <w:tbl>
      <w:tblPr>
        <w:tblStyle w:val="2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115"/>
        <w:gridCol w:w="3401"/>
        <w:gridCol w:w="2829"/>
      </w:tblGrid>
      <w:tr w14:paraId="6BAD0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15" w:type="dxa"/>
            <w:tcBorders>
              <w:top w:val="single" w:color="000000" w:sz="4" w:space="0"/>
              <w:left w:val="single" w:color="000000" w:sz="4" w:space="0"/>
              <w:bottom w:val="single" w:color="000000" w:sz="4" w:space="0"/>
              <w:right w:val="single" w:color="000000" w:sz="4" w:space="0"/>
            </w:tcBorders>
            <w:vAlign w:val="center"/>
          </w:tcPr>
          <w:p w14:paraId="5B31EF9A">
            <w:pPr>
              <w:widowControl/>
              <w:adjustRightInd/>
              <w:spacing w:line="240" w:lineRule="auto"/>
              <w:jc w:val="center"/>
              <w:rPr>
                <w:rFonts w:ascii="宋体" w:hAnsi="宋体"/>
                <w:sz w:val="18"/>
                <w:szCs w:val="18"/>
              </w:rPr>
            </w:pPr>
            <w:r>
              <w:rPr>
                <w:rFonts w:ascii="宋体" w:hAnsi="宋体"/>
                <w:sz w:val="18"/>
                <w:szCs w:val="18"/>
              </w:rPr>
              <w:t>生命周期阶段</w:t>
            </w:r>
          </w:p>
        </w:tc>
        <w:tc>
          <w:tcPr>
            <w:tcW w:w="3401" w:type="dxa"/>
            <w:tcBorders>
              <w:top w:val="single" w:color="000000" w:sz="4" w:space="0"/>
              <w:left w:val="single" w:color="000000" w:sz="4" w:space="0"/>
              <w:bottom w:val="single" w:color="000000" w:sz="4" w:space="0"/>
              <w:right w:val="single" w:color="000000" w:sz="4" w:space="0"/>
            </w:tcBorders>
            <w:vAlign w:val="center"/>
          </w:tcPr>
          <w:p w14:paraId="772F684A">
            <w:pPr>
              <w:widowControl/>
              <w:adjustRightInd/>
              <w:spacing w:line="240" w:lineRule="auto"/>
              <w:jc w:val="center"/>
              <w:rPr>
                <w:rFonts w:ascii="宋体" w:hAnsi="宋体"/>
                <w:sz w:val="18"/>
                <w:szCs w:val="18"/>
              </w:rPr>
            </w:pPr>
            <w:r>
              <w:rPr>
                <w:rFonts w:ascii="宋体" w:hAnsi="宋体"/>
                <w:sz w:val="18"/>
                <w:szCs w:val="18"/>
              </w:rPr>
              <w:t>碳足迹（t CO</w:t>
            </w:r>
            <w:r>
              <w:rPr>
                <w:rFonts w:ascii="宋体" w:hAnsi="宋体"/>
                <w:sz w:val="18"/>
                <w:szCs w:val="18"/>
                <w:vertAlign w:val="subscript"/>
              </w:rPr>
              <w:t>2</w:t>
            </w:r>
            <w:r>
              <w:rPr>
                <w:rFonts w:ascii="宋体" w:hAnsi="宋体"/>
                <w:sz w:val="18"/>
                <w:szCs w:val="18"/>
              </w:rPr>
              <w:t>e/功能单位）</w:t>
            </w:r>
          </w:p>
        </w:tc>
        <w:tc>
          <w:tcPr>
            <w:tcW w:w="2829" w:type="dxa"/>
            <w:tcBorders>
              <w:top w:val="single" w:color="000000" w:sz="4" w:space="0"/>
              <w:left w:val="single" w:color="000000" w:sz="4" w:space="0"/>
              <w:bottom w:val="single" w:color="000000" w:sz="4" w:space="0"/>
              <w:right w:val="single" w:color="000000" w:sz="4" w:space="0"/>
            </w:tcBorders>
            <w:vAlign w:val="center"/>
          </w:tcPr>
          <w:p w14:paraId="61D5095F">
            <w:pPr>
              <w:widowControl/>
              <w:adjustRightInd/>
              <w:spacing w:line="240" w:lineRule="auto"/>
              <w:jc w:val="center"/>
              <w:rPr>
                <w:rFonts w:ascii="宋体" w:hAnsi="宋体"/>
                <w:sz w:val="18"/>
                <w:szCs w:val="18"/>
              </w:rPr>
            </w:pPr>
            <w:r>
              <w:rPr>
                <w:rFonts w:ascii="宋体" w:hAnsi="宋体"/>
                <w:sz w:val="18"/>
                <w:szCs w:val="18"/>
              </w:rPr>
              <w:t>百分比（%）</w:t>
            </w:r>
          </w:p>
        </w:tc>
      </w:tr>
      <w:tr w14:paraId="32CB3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15" w:type="dxa"/>
            <w:tcBorders>
              <w:top w:val="single" w:color="000000" w:sz="4" w:space="0"/>
              <w:left w:val="single" w:color="000000" w:sz="4" w:space="0"/>
              <w:bottom w:val="single" w:color="000000" w:sz="4" w:space="0"/>
              <w:right w:val="single" w:color="000000" w:sz="4" w:space="0"/>
            </w:tcBorders>
            <w:vAlign w:val="center"/>
          </w:tcPr>
          <w:p w14:paraId="124D2170">
            <w:pPr>
              <w:widowControl/>
              <w:adjustRightInd/>
              <w:spacing w:line="240" w:lineRule="auto"/>
              <w:jc w:val="center"/>
              <w:rPr>
                <w:rFonts w:ascii="宋体" w:hAnsi="宋体"/>
                <w:sz w:val="18"/>
                <w:szCs w:val="18"/>
              </w:rPr>
            </w:pPr>
            <w:r>
              <w:rPr>
                <w:rFonts w:ascii="宋体" w:hAnsi="宋体"/>
                <w:sz w:val="18"/>
                <w:szCs w:val="18"/>
              </w:rPr>
              <w:t>原材料获取</w:t>
            </w:r>
          </w:p>
        </w:tc>
        <w:tc>
          <w:tcPr>
            <w:tcW w:w="3401" w:type="dxa"/>
            <w:tcBorders>
              <w:top w:val="single" w:color="000000" w:sz="4" w:space="0"/>
              <w:left w:val="single" w:color="000000" w:sz="4" w:space="0"/>
              <w:bottom w:val="single" w:color="000000" w:sz="4" w:space="0"/>
              <w:right w:val="single" w:color="000000" w:sz="4" w:space="0"/>
            </w:tcBorders>
            <w:vAlign w:val="center"/>
          </w:tcPr>
          <w:p w14:paraId="7F876A84">
            <w:pPr>
              <w:widowControl/>
              <w:adjustRightInd/>
              <w:spacing w:line="240" w:lineRule="auto"/>
              <w:jc w:val="center"/>
              <w:rPr>
                <w:rFonts w:ascii="宋体" w:hAnsi="宋体"/>
                <w:sz w:val="18"/>
                <w:szCs w:val="18"/>
              </w:rPr>
            </w:pPr>
          </w:p>
        </w:tc>
        <w:tc>
          <w:tcPr>
            <w:tcW w:w="2829" w:type="dxa"/>
            <w:tcBorders>
              <w:top w:val="single" w:color="000000" w:sz="4" w:space="0"/>
              <w:left w:val="single" w:color="000000" w:sz="4" w:space="0"/>
              <w:bottom w:val="single" w:color="000000" w:sz="4" w:space="0"/>
              <w:right w:val="single" w:color="000000" w:sz="4" w:space="0"/>
            </w:tcBorders>
            <w:vAlign w:val="center"/>
          </w:tcPr>
          <w:p w14:paraId="317CC1C0">
            <w:pPr>
              <w:widowControl/>
              <w:adjustRightInd/>
              <w:spacing w:line="240" w:lineRule="auto"/>
              <w:jc w:val="center"/>
              <w:rPr>
                <w:rFonts w:ascii="宋体" w:hAnsi="宋体"/>
                <w:sz w:val="18"/>
                <w:szCs w:val="18"/>
              </w:rPr>
            </w:pPr>
          </w:p>
        </w:tc>
      </w:tr>
      <w:tr w14:paraId="5043C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15" w:type="dxa"/>
            <w:tcBorders>
              <w:top w:val="single" w:color="000000" w:sz="4" w:space="0"/>
              <w:left w:val="single" w:color="000000" w:sz="4" w:space="0"/>
              <w:bottom w:val="single" w:color="000000" w:sz="4" w:space="0"/>
              <w:right w:val="single" w:color="000000" w:sz="4" w:space="0"/>
            </w:tcBorders>
            <w:vAlign w:val="center"/>
          </w:tcPr>
          <w:p w14:paraId="6528FF23">
            <w:pPr>
              <w:widowControl/>
              <w:adjustRightInd/>
              <w:spacing w:line="240" w:lineRule="auto"/>
              <w:jc w:val="center"/>
              <w:rPr>
                <w:rFonts w:ascii="宋体" w:hAnsi="宋体"/>
                <w:sz w:val="18"/>
                <w:szCs w:val="18"/>
              </w:rPr>
            </w:pPr>
            <w:r>
              <w:rPr>
                <w:rFonts w:ascii="宋体" w:hAnsi="宋体"/>
                <w:sz w:val="18"/>
                <w:szCs w:val="18"/>
              </w:rPr>
              <w:t>生产</w:t>
            </w:r>
            <w:r>
              <w:rPr>
                <w:rFonts w:hint="eastAsia" w:ascii="宋体" w:hAnsi="宋体"/>
                <w:sz w:val="18"/>
                <w:szCs w:val="18"/>
              </w:rPr>
              <w:t>制造</w:t>
            </w:r>
          </w:p>
        </w:tc>
        <w:tc>
          <w:tcPr>
            <w:tcW w:w="3401" w:type="dxa"/>
            <w:tcBorders>
              <w:top w:val="single" w:color="000000" w:sz="4" w:space="0"/>
              <w:left w:val="single" w:color="000000" w:sz="4" w:space="0"/>
              <w:bottom w:val="single" w:color="000000" w:sz="4" w:space="0"/>
              <w:right w:val="single" w:color="000000" w:sz="4" w:space="0"/>
            </w:tcBorders>
            <w:vAlign w:val="center"/>
          </w:tcPr>
          <w:p w14:paraId="10A9AD0B">
            <w:pPr>
              <w:widowControl/>
              <w:adjustRightInd/>
              <w:spacing w:line="240" w:lineRule="auto"/>
              <w:jc w:val="center"/>
              <w:rPr>
                <w:rFonts w:ascii="宋体" w:hAnsi="宋体"/>
                <w:sz w:val="18"/>
                <w:szCs w:val="18"/>
              </w:rPr>
            </w:pPr>
          </w:p>
        </w:tc>
        <w:tc>
          <w:tcPr>
            <w:tcW w:w="2829" w:type="dxa"/>
            <w:tcBorders>
              <w:top w:val="single" w:color="000000" w:sz="4" w:space="0"/>
              <w:left w:val="single" w:color="000000" w:sz="4" w:space="0"/>
              <w:bottom w:val="single" w:color="000000" w:sz="4" w:space="0"/>
              <w:right w:val="single" w:color="000000" w:sz="4" w:space="0"/>
            </w:tcBorders>
            <w:vAlign w:val="center"/>
          </w:tcPr>
          <w:p w14:paraId="7E424ED3">
            <w:pPr>
              <w:widowControl/>
              <w:adjustRightInd/>
              <w:spacing w:line="240" w:lineRule="auto"/>
              <w:jc w:val="center"/>
              <w:rPr>
                <w:rFonts w:ascii="宋体" w:hAnsi="宋体"/>
                <w:sz w:val="18"/>
                <w:szCs w:val="18"/>
              </w:rPr>
            </w:pPr>
          </w:p>
        </w:tc>
      </w:tr>
      <w:tr w14:paraId="69200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15" w:type="dxa"/>
            <w:tcBorders>
              <w:top w:val="single" w:color="000000" w:sz="4" w:space="0"/>
              <w:left w:val="single" w:color="000000" w:sz="4" w:space="0"/>
              <w:bottom w:val="single" w:color="000000" w:sz="4" w:space="0"/>
              <w:right w:val="single" w:color="000000" w:sz="4" w:space="0"/>
            </w:tcBorders>
            <w:vAlign w:val="center"/>
          </w:tcPr>
          <w:p w14:paraId="0F5F6D6C">
            <w:pPr>
              <w:widowControl/>
              <w:adjustRightInd/>
              <w:spacing w:line="240" w:lineRule="auto"/>
              <w:jc w:val="center"/>
              <w:rPr>
                <w:rFonts w:ascii="宋体" w:hAnsi="宋体"/>
                <w:sz w:val="18"/>
                <w:szCs w:val="18"/>
              </w:rPr>
            </w:pPr>
            <w:r>
              <w:rPr>
                <w:rFonts w:ascii="宋体" w:hAnsi="宋体"/>
                <w:sz w:val="18"/>
                <w:szCs w:val="18"/>
              </w:rPr>
              <w:t>交付运输</w:t>
            </w:r>
          </w:p>
        </w:tc>
        <w:tc>
          <w:tcPr>
            <w:tcW w:w="3401" w:type="dxa"/>
            <w:tcBorders>
              <w:top w:val="single" w:color="000000" w:sz="4" w:space="0"/>
              <w:left w:val="single" w:color="000000" w:sz="4" w:space="0"/>
              <w:bottom w:val="single" w:color="000000" w:sz="4" w:space="0"/>
              <w:right w:val="single" w:color="000000" w:sz="4" w:space="0"/>
            </w:tcBorders>
            <w:vAlign w:val="center"/>
          </w:tcPr>
          <w:p w14:paraId="0768E469">
            <w:pPr>
              <w:widowControl/>
              <w:adjustRightInd/>
              <w:spacing w:line="240" w:lineRule="auto"/>
              <w:jc w:val="center"/>
              <w:rPr>
                <w:rFonts w:ascii="宋体" w:hAnsi="宋体"/>
                <w:sz w:val="18"/>
                <w:szCs w:val="18"/>
              </w:rPr>
            </w:pPr>
          </w:p>
        </w:tc>
        <w:tc>
          <w:tcPr>
            <w:tcW w:w="2829" w:type="dxa"/>
            <w:tcBorders>
              <w:top w:val="single" w:color="000000" w:sz="4" w:space="0"/>
              <w:left w:val="single" w:color="000000" w:sz="4" w:space="0"/>
              <w:bottom w:val="single" w:color="000000" w:sz="4" w:space="0"/>
              <w:right w:val="single" w:color="000000" w:sz="4" w:space="0"/>
            </w:tcBorders>
            <w:vAlign w:val="center"/>
          </w:tcPr>
          <w:p w14:paraId="02EF69C2">
            <w:pPr>
              <w:widowControl/>
              <w:adjustRightInd/>
              <w:spacing w:line="240" w:lineRule="auto"/>
              <w:jc w:val="center"/>
              <w:rPr>
                <w:rFonts w:ascii="宋体" w:hAnsi="宋体"/>
                <w:sz w:val="18"/>
                <w:szCs w:val="18"/>
              </w:rPr>
            </w:pPr>
          </w:p>
        </w:tc>
      </w:tr>
      <w:tr w14:paraId="2B943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15" w:type="dxa"/>
            <w:tcBorders>
              <w:top w:val="single" w:color="000000" w:sz="4" w:space="0"/>
              <w:left w:val="single" w:color="000000" w:sz="4" w:space="0"/>
              <w:bottom w:val="single" w:color="000000" w:sz="4" w:space="0"/>
              <w:right w:val="single" w:color="000000" w:sz="4" w:space="0"/>
            </w:tcBorders>
            <w:vAlign w:val="center"/>
          </w:tcPr>
          <w:p w14:paraId="357CCB04">
            <w:pPr>
              <w:widowControl/>
              <w:adjustRightInd/>
              <w:spacing w:line="240" w:lineRule="auto"/>
              <w:jc w:val="center"/>
              <w:rPr>
                <w:rFonts w:ascii="宋体" w:hAnsi="宋体"/>
                <w:sz w:val="18"/>
                <w:szCs w:val="18"/>
              </w:rPr>
            </w:pPr>
            <w:r>
              <w:rPr>
                <w:rFonts w:hint="eastAsia" w:ascii="宋体" w:hAnsi="宋体"/>
                <w:sz w:val="18"/>
                <w:szCs w:val="18"/>
              </w:rPr>
              <w:t>使用</w:t>
            </w:r>
          </w:p>
        </w:tc>
        <w:tc>
          <w:tcPr>
            <w:tcW w:w="3401" w:type="dxa"/>
            <w:tcBorders>
              <w:top w:val="single" w:color="000000" w:sz="4" w:space="0"/>
              <w:left w:val="single" w:color="000000" w:sz="4" w:space="0"/>
              <w:bottom w:val="single" w:color="000000" w:sz="4" w:space="0"/>
              <w:right w:val="single" w:color="000000" w:sz="4" w:space="0"/>
            </w:tcBorders>
            <w:vAlign w:val="center"/>
          </w:tcPr>
          <w:p w14:paraId="45176667">
            <w:pPr>
              <w:widowControl/>
              <w:adjustRightInd/>
              <w:spacing w:line="240" w:lineRule="auto"/>
              <w:jc w:val="center"/>
              <w:rPr>
                <w:rFonts w:ascii="宋体" w:hAnsi="宋体"/>
                <w:sz w:val="18"/>
                <w:szCs w:val="18"/>
              </w:rPr>
            </w:pPr>
          </w:p>
        </w:tc>
        <w:tc>
          <w:tcPr>
            <w:tcW w:w="2829" w:type="dxa"/>
            <w:tcBorders>
              <w:top w:val="single" w:color="000000" w:sz="4" w:space="0"/>
              <w:left w:val="single" w:color="000000" w:sz="4" w:space="0"/>
              <w:bottom w:val="single" w:color="000000" w:sz="4" w:space="0"/>
              <w:right w:val="single" w:color="000000" w:sz="4" w:space="0"/>
            </w:tcBorders>
            <w:vAlign w:val="center"/>
          </w:tcPr>
          <w:p w14:paraId="7C20ED6D">
            <w:pPr>
              <w:widowControl/>
              <w:adjustRightInd/>
              <w:spacing w:line="240" w:lineRule="auto"/>
              <w:jc w:val="center"/>
              <w:rPr>
                <w:rFonts w:ascii="宋体" w:hAnsi="宋体"/>
                <w:sz w:val="18"/>
                <w:szCs w:val="18"/>
              </w:rPr>
            </w:pPr>
          </w:p>
        </w:tc>
      </w:tr>
      <w:tr w14:paraId="5D871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15" w:type="dxa"/>
            <w:tcBorders>
              <w:top w:val="single" w:color="000000" w:sz="4" w:space="0"/>
              <w:left w:val="single" w:color="000000" w:sz="4" w:space="0"/>
              <w:bottom w:val="single" w:color="000000" w:sz="4" w:space="0"/>
              <w:right w:val="single" w:color="000000" w:sz="4" w:space="0"/>
            </w:tcBorders>
            <w:vAlign w:val="center"/>
          </w:tcPr>
          <w:p w14:paraId="48F4D095">
            <w:pPr>
              <w:widowControl/>
              <w:adjustRightInd/>
              <w:spacing w:line="240" w:lineRule="auto"/>
              <w:jc w:val="center"/>
              <w:rPr>
                <w:rFonts w:ascii="宋体" w:hAnsi="宋体"/>
                <w:sz w:val="18"/>
                <w:szCs w:val="18"/>
              </w:rPr>
            </w:pPr>
            <w:r>
              <w:rPr>
                <w:rFonts w:hint="eastAsia" w:ascii="宋体" w:hAnsi="宋体"/>
                <w:sz w:val="18"/>
                <w:szCs w:val="18"/>
              </w:rPr>
              <w:t>回收处置</w:t>
            </w:r>
          </w:p>
        </w:tc>
        <w:tc>
          <w:tcPr>
            <w:tcW w:w="3401" w:type="dxa"/>
            <w:tcBorders>
              <w:top w:val="single" w:color="000000" w:sz="4" w:space="0"/>
              <w:left w:val="single" w:color="000000" w:sz="4" w:space="0"/>
              <w:bottom w:val="single" w:color="000000" w:sz="4" w:space="0"/>
              <w:right w:val="single" w:color="000000" w:sz="4" w:space="0"/>
            </w:tcBorders>
            <w:vAlign w:val="center"/>
          </w:tcPr>
          <w:p w14:paraId="5299B2B2">
            <w:pPr>
              <w:widowControl/>
              <w:adjustRightInd/>
              <w:spacing w:line="240" w:lineRule="auto"/>
              <w:jc w:val="center"/>
              <w:rPr>
                <w:rFonts w:ascii="宋体" w:hAnsi="宋体"/>
                <w:sz w:val="18"/>
                <w:szCs w:val="18"/>
              </w:rPr>
            </w:pPr>
          </w:p>
        </w:tc>
        <w:tc>
          <w:tcPr>
            <w:tcW w:w="2829" w:type="dxa"/>
            <w:tcBorders>
              <w:top w:val="single" w:color="000000" w:sz="4" w:space="0"/>
              <w:left w:val="single" w:color="000000" w:sz="4" w:space="0"/>
              <w:bottom w:val="single" w:color="000000" w:sz="4" w:space="0"/>
              <w:right w:val="single" w:color="000000" w:sz="4" w:space="0"/>
            </w:tcBorders>
            <w:vAlign w:val="center"/>
          </w:tcPr>
          <w:p w14:paraId="155C1D5F">
            <w:pPr>
              <w:widowControl/>
              <w:adjustRightInd/>
              <w:spacing w:line="240" w:lineRule="auto"/>
              <w:jc w:val="center"/>
              <w:rPr>
                <w:rFonts w:ascii="宋体" w:hAnsi="宋体"/>
                <w:sz w:val="18"/>
                <w:szCs w:val="18"/>
              </w:rPr>
            </w:pPr>
          </w:p>
        </w:tc>
      </w:tr>
    </w:tbl>
    <w:p w14:paraId="220B5A74">
      <w:pPr>
        <w:widowControl/>
        <w:adjustRightInd/>
        <w:spacing w:before="120" w:beforeLines="50" w:after="120" w:afterLines="50" w:line="240" w:lineRule="auto"/>
        <w:rPr>
          <w:rFonts w:ascii="Times New Roman" w:hAnsi="Times New Roman"/>
          <w:b/>
          <w:bCs/>
          <w:sz w:val="24"/>
          <w:szCs w:val="24"/>
        </w:rPr>
      </w:pPr>
      <w:r>
        <w:rPr>
          <w:rFonts w:hint="eastAsia" w:ascii="Times New Roman" w:hAnsi="Times New Roman"/>
          <w:b/>
          <w:bCs/>
          <w:sz w:val="24"/>
          <w:szCs w:val="24"/>
        </w:rPr>
        <w:t xml:space="preserve"> </w:t>
      </w:r>
    </w:p>
    <w:p w14:paraId="6D85D1B4">
      <w:pPr>
        <w:widowControl/>
        <w:adjustRightInd/>
        <w:spacing w:before="120" w:beforeLines="50" w:after="120" w:afterLines="50" w:line="240" w:lineRule="auto"/>
        <w:jc w:val="center"/>
        <w:rPr>
          <w:rFonts w:ascii="Times New Roman" w:hAnsi="Times New Roman"/>
          <w:b/>
          <w:bCs/>
          <w:sz w:val="24"/>
          <w:szCs w:val="24"/>
        </w:rPr>
      </w:pPr>
      <w:r>
        <w:rPr>
          <w:rFonts w:ascii="宋体" w:hAnsi="宋体"/>
          <w:b/>
          <w:bCs/>
          <w:sz w:val="24"/>
          <w:szCs w:val="24"/>
        </w:rPr>
        <w:t>图</w:t>
      </w:r>
      <w:r>
        <w:rPr>
          <w:rFonts w:ascii="Times New Roman" w:hAnsi="Times New Roman"/>
          <w:b/>
          <w:bCs/>
          <w:sz w:val="24"/>
          <w:szCs w:val="24"/>
        </w:rPr>
        <w:t>2  **</w:t>
      </w:r>
      <w:r>
        <w:rPr>
          <w:rFonts w:ascii="宋体" w:hAnsi="宋体"/>
          <w:b/>
          <w:bCs/>
          <w:sz w:val="24"/>
          <w:szCs w:val="24"/>
        </w:rPr>
        <w:t>各生命周期阶段碳排放分布图</w:t>
      </w:r>
    </w:p>
    <w:p w14:paraId="7C352BEA">
      <w:pPr>
        <w:widowControl/>
        <w:adjustRightInd/>
        <w:spacing w:before="120" w:beforeLines="50" w:after="120" w:afterLines="50" w:line="240" w:lineRule="auto"/>
        <w:ind w:firstLine="482" w:firstLineChars="200"/>
        <w:jc w:val="left"/>
        <w:rPr>
          <w:rFonts w:ascii="Times New Roman" w:hAnsi="Times New Roman"/>
          <w:sz w:val="24"/>
          <w:szCs w:val="24"/>
        </w:rPr>
      </w:pPr>
      <w:r>
        <w:rPr>
          <w:rFonts w:ascii="宋体" w:hAnsi="宋体"/>
          <w:b/>
          <w:bCs/>
          <w:sz w:val="24"/>
          <w:szCs w:val="24"/>
        </w:rPr>
        <w:t>注：</w:t>
      </w:r>
      <w:r>
        <w:rPr>
          <w:rFonts w:ascii="宋体" w:hAnsi="宋体"/>
          <w:sz w:val="24"/>
          <w:szCs w:val="24"/>
        </w:rPr>
        <w:t>具体产品生命周期阶段碳排放分布图一般以饼状图或是柱形图表示各生命周期阶段的碳排放情况。</w:t>
      </w:r>
    </w:p>
    <w:p w14:paraId="654C52C5">
      <w:pPr>
        <w:widowControl/>
        <w:numPr>
          <w:ilvl w:val="0"/>
          <w:numId w:val="32"/>
        </w:numPr>
        <w:adjustRightInd/>
        <w:spacing w:before="120" w:beforeLines="50" w:after="120" w:afterLines="50" w:line="240" w:lineRule="auto"/>
        <w:jc w:val="left"/>
        <w:rPr>
          <w:rFonts w:ascii="Times New Roman" w:hAnsi="Times New Roman"/>
          <w:b/>
          <w:bCs/>
          <w:sz w:val="24"/>
          <w:szCs w:val="24"/>
        </w:rPr>
      </w:pPr>
      <w:r>
        <w:rPr>
          <w:rFonts w:hint="eastAsia" w:ascii="宋体" w:hAnsi="宋体"/>
          <w:b/>
          <w:bCs/>
          <w:sz w:val="24"/>
          <w:szCs w:val="24"/>
        </w:rPr>
        <w:t>不确定性分析、敏感性分析</w:t>
      </w:r>
    </w:p>
    <w:p w14:paraId="7FA5BFDD">
      <w:pPr>
        <w:widowControl/>
        <w:adjustRightInd/>
        <w:spacing w:before="120" w:beforeLines="50" w:after="120" w:afterLines="50" w:line="240" w:lineRule="auto"/>
        <w:ind w:firstLine="480" w:firstLineChars="200"/>
        <w:jc w:val="left"/>
        <w:rPr>
          <w:rFonts w:ascii="Times New Roman" w:hAnsi="Times New Roman"/>
          <w:sz w:val="24"/>
          <w:szCs w:val="24"/>
        </w:rPr>
      </w:pPr>
      <w:r>
        <w:rPr>
          <w:rFonts w:ascii="宋体" w:hAnsi="宋体"/>
          <w:sz w:val="24"/>
          <w:szCs w:val="24"/>
        </w:rPr>
        <w:t>考虑完整性、一致性</w:t>
      </w:r>
      <w:r>
        <w:rPr>
          <w:rFonts w:hint="eastAsia" w:ascii="宋体" w:hAnsi="宋体"/>
          <w:sz w:val="24"/>
          <w:szCs w:val="24"/>
        </w:rPr>
        <w:t>、不确定性</w:t>
      </w:r>
      <w:r>
        <w:rPr>
          <w:rFonts w:ascii="宋体" w:hAnsi="宋体"/>
          <w:sz w:val="24"/>
          <w:szCs w:val="24"/>
        </w:rPr>
        <w:t>和敏感性分析的评估</w:t>
      </w:r>
      <w:r>
        <w:rPr>
          <w:rFonts w:hint="eastAsia" w:ascii="宋体" w:hAnsi="宋体"/>
          <w:sz w:val="24"/>
          <w:szCs w:val="24"/>
        </w:rPr>
        <w:t>。</w:t>
      </w:r>
    </w:p>
    <w:p w14:paraId="63AC9A2A">
      <w:pPr>
        <w:widowControl/>
        <w:adjustRightInd/>
        <w:spacing w:before="120" w:beforeLines="50" w:after="120" w:afterLines="50" w:line="240" w:lineRule="auto"/>
        <w:jc w:val="left"/>
        <w:rPr>
          <w:rFonts w:ascii="Times New Roman" w:hAnsi="Times New Roman"/>
          <w:b/>
          <w:bCs/>
          <w:sz w:val="24"/>
          <w:szCs w:val="24"/>
        </w:rPr>
      </w:pPr>
      <w:r>
        <w:rPr>
          <w:rFonts w:hint="eastAsia" w:ascii="Times New Roman" w:hAnsi="Times New Roman"/>
          <w:b/>
          <w:bCs/>
          <w:sz w:val="24"/>
          <w:szCs w:val="24"/>
        </w:rPr>
        <w:t>3</w:t>
      </w:r>
      <w:r>
        <w:rPr>
          <w:rFonts w:ascii="宋体" w:hAnsi="宋体"/>
          <w:b/>
          <w:bCs/>
          <w:sz w:val="24"/>
          <w:szCs w:val="24"/>
        </w:rPr>
        <w:t>、假设和局限性说明（可选项）</w:t>
      </w:r>
    </w:p>
    <w:p w14:paraId="42EFC5DD">
      <w:pPr>
        <w:widowControl/>
        <w:adjustRightInd/>
        <w:spacing w:before="120" w:beforeLines="50" w:after="120" w:afterLines="50" w:line="240" w:lineRule="auto"/>
        <w:ind w:firstLine="480" w:firstLineChars="200"/>
        <w:jc w:val="left"/>
        <w:rPr>
          <w:rFonts w:ascii="Times New Roman" w:hAnsi="Times New Roman"/>
          <w:sz w:val="24"/>
          <w:szCs w:val="24"/>
        </w:rPr>
      </w:pPr>
      <w:r>
        <w:rPr>
          <w:rFonts w:ascii="宋体" w:hAnsi="宋体"/>
          <w:sz w:val="24"/>
          <w:szCs w:val="24"/>
        </w:rPr>
        <w:t>结合量化情况，对范围、数据选择、情景设定等相关的假设和局限进行说明。</w:t>
      </w:r>
    </w:p>
    <w:p w14:paraId="6B85839C">
      <w:pPr>
        <w:widowControl/>
        <w:adjustRightInd/>
        <w:spacing w:before="120" w:beforeLines="50" w:after="120" w:afterLines="50" w:line="240" w:lineRule="auto"/>
        <w:jc w:val="left"/>
        <w:rPr>
          <w:rFonts w:ascii="Times New Roman" w:hAnsi="Times New Roman"/>
          <w:b/>
          <w:bCs/>
          <w:sz w:val="24"/>
          <w:szCs w:val="24"/>
        </w:rPr>
      </w:pPr>
      <w:r>
        <w:rPr>
          <w:rFonts w:hint="eastAsia" w:ascii="Times New Roman" w:hAnsi="Times New Roman"/>
          <w:b/>
          <w:bCs/>
          <w:sz w:val="24"/>
          <w:szCs w:val="24"/>
        </w:rPr>
        <w:t>4</w:t>
      </w:r>
      <w:r>
        <w:rPr>
          <w:rFonts w:ascii="宋体" w:hAnsi="宋体"/>
          <w:b/>
          <w:bCs/>
          <w:sz w:val="24"/>
          <w:szCs w:val="24"/>
        </w:rPr>
        <w:t>、改进建议</w:t>
      </w:r>
    </w:p>
    <w:p w14:paraId="2CF68AE5">
      <w:pPr>
        <w:pStyle w:val="56"/>
        <w:ind w:firstLine="420"/>
      </w:pPr>
    </w:p>
    <w:bookmarkEnd w:id="43"/>
    <w:p w14:paraId="42EAE34A">
      <w:pPr>
        <w:pStyle w:val="56"/>
        <w:ind w:firstLine="0" w:firstLineChars="0"/>
        <w:jc w:val="center"/>
      </w:pPr>
      <w:bookmarkStart w:id="45"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390A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70FC6">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81888">
    <w:pPr>
      <w:pStyle w:val="52"/>
    </w:pPr>
    <w:r>
      <w:fldChar w:fldCharType="begin"/>
    </w:r>
    <w:r>
      <w:instrText xml:space="preserve">PAGE   \* MERGEFORMAT</w:instrText>
    </w:r>
    <w:r>
      <w:fldChar w:fldCharType="separate"/>
    </w:r>
    <w:r>
      <w:rPr>
        <w:lang w:val="zh-CN"/>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E5EE9">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A254D">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3EF89">
    <w:pPr>
      <w:pStyle w:val="61"/>
    </w:pPr>
    <w:r>
      <w:fldChar w:fldCharType="begin"/>
    </w:r>
    <w:r>
      <w:instrText xml:space="preserve"> STYLEREF  标准文件_文件编号  \* MERGEFORMAT </w:instrText>
    </w:r>
    <w:r>
      <w:fldChar w:fldCharType="separate"/>
    </w:r>
    <w:r>
      <w:t>T/DLAS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C414A">
    <w:pPr>
      <w:pStyle w:val="18"/>
      <w:jc w:val="right"/>
    </w:pPr>
    <w:r>
      <w:fldChar w:fldCharType="begin"/>
    </w:r>
    <w:r>
      <w:instrText xml:space="preserve"> STYLEREF  标准文件_文件编号  \* MERGEFORMAT </w:instrText>
    </w:r>
    <w:r>
      <w:fldChar w:fldCharType="separate"/>
    </w:r>
    <w:r>
      <w:t>T/DLAS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11958CC"/>
    <w:multiLevelType w:val="multilevel"/>
    <w:tmpl w:val="311958CC"/>
    <w:lvl w:ilvl="0" w:tentative="0">
      <w:start w:val="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QGOis0wX/MEslcCP7njljgZEATJQpPMBtM3QQGJLRWhj31mv43YbAeQ1RNcSA7opMs2pk1ef8Y8/mKb8DUtnzw==" w:salt="dot6+x0Zbl7wEay5EV1ox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D2D"/>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863"/>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AFB"/>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358"/>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733"/>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662B"/>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5C2"/>
    <w:rsid w:val="007C4593"/>
    <w:rsid w:val="007C5309"/>
    <w:rsid w:val="007C6069"/>
    <w:rsid w:val="007D06C4"/>
    <w:rsid w:val="007D1352"/>
    <w:rsid w:val="007D2508"/>
    <w:rsid w:val="007D346A"/>
    <w:rsid w:val="007D6518"/>
    <w:rsid w:val="007D76BD"/>
    <w:rsid w:val="007E0BF1"/>
    <w:rsid w:val="007E7EA2"/>
    <w:rsid w:val="007F0ED8"/>
    <w:rsid w:val="007F0F63"/>
    <w:rsid w:val="007F75CE"/>
    <w:rsid w:val="008013A4"/>
    <w:rsid w:val="008027CE"/>
    <w:rsid w:val="00802F42"/>
    <w:rsid w:val="00804383"/>
    <w:rsid w:val="00804BB7"/>
    <w:rsid w:val="00804D41"/>
    <w:rsid w:val="00810257"/>
    <w:rsid w:val="008104F5"/>
    <w:rsid w:val="00810A68"/>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37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0A7"/>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D2D"/>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623"/>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0F2"/>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6DC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5730F"/>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4C8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26B"/>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6E03A2F"/>
    <w:rsid w:val="7EBC1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table" w:customStyle="1" w:styleId="230">
    <w:name w:val="网格型1"/>
    <w:basedOn w:val="26"/>
    <w:unhideWhenUsed/>
    <w:uiPriority w:val="99"/>
    <w:rPr>
      <w:rFonts w:ascii="宋体" w:hAns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sv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B5E7E7252BA4782A209D69ABE7F73D4"/>
        <w:style w:val=""/>
        <w:category>
          <w:name w:val="常规"/>
          <w:gallery w:val="placeholder"/>
        </w:category>
        <w:types>
          <w:type w:val="bbPlcHdr"/>
        </w:types>
        <w:behaviors>
          <w:behavior w:val="content"/>
        </w:behaviors>
        <w:description w:val=""/>
        <w:guid w:val="{A08F966A-39C2-464D-BE48-9CD0903D53C8}"/>
      </w:docPartPr>
      <w:docPartBody>
        <w:p w14:paraId="61AE3054">
          <w:pPr>
            <w:pStyle w:val="5"/>
          </w:pPr>
          <w:r>
            <w:rPr>
              <w:rStyle w:val="4"/>
              <w:rFonts w:hint="eastAsia"/>
            </w:rPr>
            <w:t>单击或点击此处输入文字。</w:t>
          </w:r>
        </w:p>
      </w:docPartBody>
    </w:docPart>
    <w:docPart>
      <w:docPartPr>
        <w:name w:val="D0F4D65CB4B4416A9E00DA4E7078B5D4"/>
        <w:style w:val=""/>
        <w:category>
          <w:name w:val="常规"/>
          <w:gallery w:val="placeholder"/>
        </w:category>
        <w:types>
          <w:type w:val="bbPlcHdr"/>
        </w:types>
        <w:behaviors>
          <w:behavior w:val="content"/>
        </w:behaviors>
        <w:description w:val=""/>
        <w:guid w:val="{967AAF89-C508-4095-8D88-34867CE1983C}"/>
      </w:docPartPr>
      <w:docPartBody>
        <w:p w14:paraId="7AEF79FD">
          <w:pPr>
            <w:pStyle w:val="6"/>
          </w:pPr>
          <w:r>
            <w:rPr>
              <w:rStyle w:val="4"/>
              <w:rFonts w:hint="eastAsia"/>
            </w:rPr>
            <w:t>选择一项。</w:t>
          </w:r>
        </w:p>
      </w:docPartBody>
    </w:docPart>
    <w:docPart>
      <w:docPartPr>
        <w:name w:val="FDF5FFD9E9214F7291694E3A18080C9E"/>
        <w:style w:val=""/>
        <w:category>
          <w:name w:val="常规"/>
          <w:gallery w:val="placeholder"/>
        </w:category>
        <w:types>
          <w:type w:val="bbPlcHdr"/>
        </w:types>
        <w:behaviors>
          <w:behavior w:val="content"/>
        </w:behaviors>
        <w:description w:val=""/>
        <w:guid w:val="{9E9A10A3-2647-4F2D-A21B-5E3400E202A6}"/>
      </w:docPartPr>
      <w:docPartBody>
        <w:p w14:paraId="7F18604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AFA"/>
    <w:rsid w:val="00AD10BF"/>
    <w:rsid w:val="00EA4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B5E7E7252BA4782A209D69ABE7F73D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0F4D65CB4B4416A9E00DA4E7078B5D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DF5FFD9E9214F7291694E3A18080C9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BB13C-BA7F-40E0-9D89-F20D0AA276D1}">
  <ds:schemaRefs/>
</ds:datastoreItem>
</file>

<file path=docProps/app.xml><?xml version="1.0" encoding="utf-8"?>
<Properties xmlns="http://schemas.openxmlformats.org/officeDocument/2006/extended-properties" xmlns:vt="http://schemas.openxmlformats.org/officeDocument/2006/docPropsVTypes">
  <Template>团体标准</Template>
  <Pages>17</Pages>
  <Words>6360</Words>
  <Characters>7569</Characters>
  <Lines>79</Lines>
  <Paragraphs>22</Paragraphs>
  <TotalTime>0</TotalTime>
  <ScaleCrop>false</ScaleCrop>
  <LinksUpToDate>false</LinksUpToDate>
  <CharactersWithSpaces>7825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2025-10-28T06:16:00Z</dcterms:created>
  <dc:creator>user</dc:creator>
  <cp:lastModifiedBy>海山</cp:lastModifiedBy>
  <cp:lastPrinted>2021-02-02T08:22:00Z</cp:lastPrinted>
  <dcterms:modified xsi:type="dcterms:W3CDTF">2025-10-28T07:02:08Z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eyJoZGlkIjoiZTczZTk3YTkxMDI0NTk4OGZjMmNiZTE5ODFhYTFkNjgiLCJ1c2VySWQiOiI0OTEzMTQ5NTMifQ==</vt:lpwstr>
  </property>
  <property fmtid="{D5CDD505-2E9C-101B-9397-08002B2CF9AE}" pid="15" name="KSOProductBuildVer">
    <vt:lpwstr>2052-12.1.0.23125</vt:lpwstr>
  </property>
  <property fmtid="{D5CDD505-2E9C-101B-9397-08002B2CF9AE}" pid="16" name="ICV">
    <vt:lpwstr>FB7DF1F22F924C6689D2A9DE184715C9_12</vt:lpwstr>
  </property>
</Properties>
</file>